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BC4" w:rsidRPr="004436D9" w:rsidRDefault="00627BC4" w:rsidP="00627BC4">
      <w:pPr>
        <w:tabs>
          <w:tab w:val="left" w:pos="5859"/>
        </w:tabs>
        <w:bidi/>
        <w:spacing w:line="276" w:lineRule="auto"/>
        <w:jc w:val="both"/>
        <w:rPr>
          <w:rFonts w:ascii="Sakkal Majalla" w:hAnsi="Sakkal Majalla" w:cs="Sakkal Majalla"/>
          <w:b/>
          <w:bCs/>
          <w:sz w:val="32"/>
          <w:szCs w:val="32"/>
          <w:u w:val="thick"/>
          <w:rtl/>
          <w:lang w:val="en-ZA" w:bidi="ar-DZ"/>
        </w:rPr>
      </w:pPr>
      <w:proofErr w:type="gramStart"/>
      <w:r w:rsidRPr="004436D9">
        <w:rPr>
          <w:rFonts w:ascii="Sakkal Majalla" w:hAnsi="Sakkal Majalla" w:cs="Sakkal Majalla" w:hint="cs"/>
          <w:b/>
          <w:bCs/>
          <w:color w:val="12426D"/>
          <w:sz w:val="32"/>
          <w:szCs w:val="32"/>
          <w:u w:val="thick"/>
          <w:rtl/>
          <w:lang w:val="en-ZA" w:bidi="ar-DZ"/>
        </w:rPr>
        <w:t>الملخص</w:t>
      </w:r>
      <w:proofErr w:type="gramEnd"/>
      <w:r w:rsidRPr="004436D9">
        <w:rPr>
          <w:rFonts w:ascii="Sakkal Majalla" w:hAnsi="Sakkal Majalla" w:cs="Sakkal Majalla" w:hint="cs"/>
          <w:b/>
          <w:bCs/>
          <w:sz w:val="32"/>
          <w:szCs w:val="32"/>
          <w:u w:val="thick"/>
          <w:rtl/>
          <w:lang w:val="en-ZA" w:bidi="ar-DZ"/>
        </w:rPr>
        <w:t>:</w:t>
      </w:r>
    </w:p>
    <w:p w:rsidR="00627BC4" w:rsidRDefault="00627BC4" w:rsidP="00627BC4">
      <w:pPr>
        <w:bidi/>
        <w:spacing w:line="276" w:lineRule="auto"/>
        <w:ind w:firstLine="566"/>
        <w:jc w:val="both"/>
        <w:rPr>
          <w:rFonts w:ascii="Sakkal Majalla" w:hAnsi="Sakkal Majalla" w:cs="Sakkal Majalla"/>
          <w:sz w:val="32"/>
          <w:szCs w:val="32"/>
        </w:rPr>
      </w:pPr>
      <w:r>
        <w:rPr>
          <w:rFonts w:ascii="Sakkal Majalla" w:hAnsi="Sakkal Majalla" w:cs="Sakkal Majalla"/>
          <w:sz w:val="32"/>
          <w:szCs w:val="32"/>
          <w:rtl/>
          <w:lang w:val="en-ZA"/>
        </w:rPr>
        <w:t>تهدف هذه الدراسة إلى إبراز جهود عصرنة النظام الميزانياتي في الجزائر، ومدى تأثيرها على سياسة ترشيد النفقات العمومية، وذلك في ظل المبادئ الجديدة التي جاء بها القانون العضوي 18-15 المتعلق بقوانين المالية. وقد تم ذلك من خلال اعتماد آليات حديثة ترتكز على مبدأ التسيير المتمحور حول النتائج، بما يعزز فعالية الإنفاق العمومي</w:t>
      </w:r>
      <w:r>
        <w:rPr>
          <w:rFonts w:ascii="Sakkal Majalla" w:hAnsi="Sakkal Majalla" w:cs="Sakkal Majalla"/>
          <w:sz w:val="32"/>
          <w:szCs w:val="32"/>
        </w:rPr>
        <w:t>.</w:t>
      </w:r>
    </w:p>
    <w:p w:rsidR="00627BC4" w:rsidRDefault="00627BC4" w:rsidP="00627BC4">
      <w:pPr>
        <w:bidi/>
        <w:spacing w:line="276" w:lineRule="auto"/>
        <w:ind w:firstLine="566"/>
        <w:jc w:val="both"/>
        <w:rPr>
          <w:rFonts w:ascii="Sakkal Majalla" w:hAnsi="Sakkal Majalla" w:cs="Sakkal Majalla"/>
          <w:sz w:val="32"/>
          <w:szCs w:val="32"/>
          <w:rtl/>
        </w:rPr>
      </w:pPr>
      <w:r>
        <w:rPr>
          <w:rFonts w:ascii="Sakkal Majalla" w:hAnsi="Sakkal Majalla" w:cs="Sakkal Majalla" w:hint="cs"/>
          <w:sz w:val="32"/>
          <w:szCs w:val="32"/>
          <w:rtl/>
        </w:rPr>
        <w:t xml:space="preserve"> </w:t>
      </w:r>
      <w:r>
        <w:rPr>
          <w:rFonts w:ascii="Sakkal Majalla" w:hAnsi="Sakkal Majalla" w:cs="Sakkal Majalla"/>
          <w:sz w:val="32"/>
          <w:szCs w:val="32"/>
          <w:rtl/>
        </w:rPr>
        <w:t>ومن أجل تحقيق أهداف الدراسة، تم تحليل وثائق البرمجة الميزانياتية ،</w:t>
      </w:r>
      <w:r>
        <w:rPr>
          <w:rFonts w:ascii="Sakkal Majalla" w:hAnsi="Sakkal Majalla" w:cs="Sakkal Majalla" w:hint="cs"/>
          <w:sz w:val="32"/>
          <w:szCs w:val="32"/>
          <w:rtl/>
        </w:rPr>
        <w:t>والممنوحة من طرف</w:t>
      </w:r>
      <w:r>
        <w:rPr>
          <w:rFonts w:ascii="Sakkal Majalla" w:hAnsi="Sakkal Majalla" w:cs="Sakkal Majalla"/>
          <w:sz w:val="32"/>
          <w:szCs w:val="32"/>
          <w:rtl/>
        </w:rPr>
        <w:t xml:space="preserve"> مصلحة الرقابة الميزانياتية لولاية سطيف، وذلك بهدف الوقوف على كيفية ممارسة الرقابة عليها وتقييم مدى تكيفها مع المبادئ الجديدة المعتمدة</w:t>
      </w:r>
      <w:r>
        <w:rPr>
          <w:rFonts w:ascii="Sakkal Majalla" w:hAnsi="Sakkal Majalla" w:cs="Sakkal Majalla"/>
          <w:sz w:val="32"/>
          <w:szCs w:val="32"/>
        </w:rPr>
        <w:t>.</w:t>
      </w:r>
    </w:p>
    <w:p w:rsidR="00627BC4" w:rsidRDefault="00627BC4" w:rsidP="00627BC4">
      <w:pPr>
        <w:bidi/>
        <w:spacing w:line="276" w:lineRule="auto"/>
        <w:ind w:firstLine="566"/>
        <w:jc w:val="both"/>
        <w:rPr>
          <w:rFonts w:ascii="Sakkal Majalla" w:hAnsi="Sakkal Majalla" w:cs="Sakkal Majalla"/>
          <w:sz w:val="32"/>
          <w:szCs w:val="32"/>
          <w:lang w:bidi="ar-DZ"/>
        </w:rPr>
      </w:pPr>
      <w:r>
        <w:rPr>
          <w:rFonts w:ascii="Sakkal Majalla" w:hAnsi="Sakkal Majalla" w:cs="Sakkal Majalla" w:hint="cs"/>
          <w:sz w:val="32"/>
          <w:szCs w:val="32"/>
          <w:rtl/>
        </w:rPr>
        <w:t>و</w:t>
      </w:r>
      <w:r>
        <w:rPr>
          <w:rFonts w:ascii="Sakkal Majalla" w:hAnsi="Sakkal Majalla" w:cs="Sakkal Majalla"/>
          <w:sz w:val="32"/>
          <w:szCs w:val="32"/>
          <w:rtl/>
        </w:rPr>
        <w:t>توصلت هذه الدراسة إلى أن الإصلاح الميزانياتي يمثل خطوة أساسية في ترشيد النفقات من خلال تحسين طرق تنفيذ الميزانية، تعزيز الشفافية، وت</w:t>
      </w:r>
      <w:r>
        <w:rPr>
          <w:rFonts w:ascii="Sakkal Majalla" w:hAnsi="Sakkal Majalla" w:cs="Sakkal Majalla" w:hint="cs"/>
          <w:sz w:val="32"/>
          <w:szCs w:val="32"/>
          <w:rtl/>
        </w:rPr>
        <w:t>طوير</w:t>
      </w:r>
      <w:r>
        <w:rPr>
          <w:rFonts w:ascii="Sakkal Majalla" w:hAnsi="Sakkal Majalla" w:cs="Sakkal Majalla"/>
          <w:sz w:val="32"/>
          <w:szCs w:val="32"/>
          <w:rtl/>
        </w:rPr>
        <w:t xml:space="preserve"> آليات الرقابة والحد من التبذير </w:t>
      </w:r>
      <w:r>
        <w:rPr>
          <w:rFonts w:ascii="Sakkal Majalla" w:hAnsi="Sakkal Majalla" w:cs="Sakkal Majalla" w:hint="cs"/>
          <w:sz w:val="32"/>
          <w:szCs w:val="32"/>
          <w:rtl/>
        </w:rPr>
        <w:t>والإسراف</w:t>
      </w:r>
      <w:r>
        <w:rPr>
          <w:rFonts w:ascii="Sakkal Majalla" w:hAnsi="Sakkal Majalla" w:cs="Sakkal Majalla"/>
          <w:sz w:val="32"/>
          <w:szCs w:val="32"/>
          <w:rtl/>
        </w:rPr>
        <w:t xml:space="preserve">. كما يركز الإصلاح على ربط النفقات بتحقيق النتائج عبر الانتقال من ميزانية الوسائل إلى ميزانية البرامج، واعتماد البرمجة الميزانياتية متعددة السنوات، مما يضمن التخطيط </w:t>
      </w:r>
      <w:r>
        <w:rPr>
          <w:rFonts w:ascii="Sakkal Majalla" w:hAnsi="Sakkal Majalla" w:cs="Sakkal Majalla" w:hint="cs"/>
          <w:sz w:val="32"/>
          <w:szCs w:val="32"/>
          <w:rtl/>
        </w:rPr>
        <w:t>الجيد</w:t>
      </w:r>
      <w:r>
        <w:rPr>
          <w:rFonts w:ascii="Sakkal Majalla" w:hAnsi="Sakkal Majalla" w:cs="Sakkal Majalla"/>
          <w:sz w:val="32"/>
          <w:szCs w:val="32"/>
          <w:rtl/>
        </w:rPr>
        <w:t xml:space="preserve"> في إدارة الموارد ال</w:t>
      </w:r>
      <w:r>
        <w:rPr>
          <w:rFonts w:ascii="Sakkal Majalla" w:hAnsi="Sakkal Majalla" w:cs="Sakkal Majalla" w:hint="cs"/>
          <w:sz w:val="32"/>
          <w:szCs w:val="32"/>
          <w:rtl/>
        </w:rPr>
        <w:t>مالية</w:t>
      </w:r>
      <w:r>
        <w:rPr>
          <w:rFonts w:ascii="Sakkal Majalla" w:hAnsi="Sakkal Majalla" w:cs="Sakkal Majalla"/>
          <w:sz w:val="32"/>
          <w:szCs w:val="32"/>
          <w:lang w:bidi="ar-DZ"/>
        </w:rPr>
        <w:t>.</w:t>
      </w:r>
    </w:p>
    <w:p w:rsidR="00627BC4" w:rsidRDefault="00627BC4" w:rsidP="00627BC4">
      <w:pPr>
        <w:bidi/>
        <w:spacing w:line="276" w:lineRule="auto"/>
        <w:ind w:hanging="1"/>
        <w:jc w:val="both"/>
        <w:rPr>
          <w:rFonts w:ascii="Sakkal Majalla" w:hAnsi="Sakkal Majalla" w:cs="Sakkal Majalla"/>
          <w:sz w:val="32"/>
          <w:szCs w:val="32"/>
        </w:rPr>
      </w:pPr>
      <w:r w:rsidRPr="004436D9">
        <w:rPr>
          <w:rFonts w:ascii="Sakkal Majalla" w:hAnsi="Sakkal Majalla" w:cs="Sakkal Majalla" w:hint="cs"/>
          <w:b/>
          <w:bCs/>
          <w:color w:val="12426D"/>
          <w:sz w:val="32"/>
          <w:szCs w:val="32"/>
          <w:u w:val="thick"/>
          <w:rtl/>
          <w:lang w:bidi="ar-DZ"/>
        </w:rPr>
        <w:t>الكلمات المفتاحية:</w:t>
      </w:r>
      <w:r>
        <w:rPr>
          <w:rFonts w:ascii="Sakkal Majalla" w:hAnsi="Sakkal Majalla" w:cs="Sakkal Majalla" w:hint="cs"/>
          <w:b/>
          <w:bCs/>
          <w:sz w:val="32"/>
          <w:szCs w:val="32"/>
          <w:rtl/>
          <w:lang w:bidi="ar-DZ"/>
        </w:rPr>
        <w:t xml:space="preserve"> </w:t>
      </w:r>
      <w:r>
        <w:rPr>
          <w:rFonts w:ascii="Sakkal Majalla" w:hAnsi="Sakkal Majalla" w:cs="Sakkal Majalla" w:hint="cs"/>
          <w:sz w:val="32"/>
          <w:szCs w:val="32"/>
          <w:rtl/>
        </w:rPr>
        <w:t>الإصلاح الميزانياتي، القانون العضوي 18-15 المتعلق بقوانين المالية، ترشيد النفقات العمومية، الرقابة الميزانياتية، البرمجة الميزانياتية.</w:t>
      </w:r>
    </w:p>
    <w:p w:rsidR="00627BC4" w:rsidRPr="00871B2A" w:rsidRDefault="00627BC4" w:rsidP="00627BC4">
      <w:pPr>
        <w:spacing w:line="276" w:lineRule="auto"/>
        <w:jc w:val="both"/>
        <w:rPr>
          <w:rFonts w:asciiTheme="majorBidi" w:hAnsiTheme="majorBidi" w:cstheme="majorBidi"/>
          <w:b/>
          <w:bCs/>
          <w:color w:val="12426D"/>
          <w:sz w:val="28"/>
          <w:szCs w:val="28"/>
          <w:u w:val="thick"/>
          <w:lang w:val="en-ZA" w:bidi="ar-DZ"/>
        </w:rPr>
      </w:pPr>
      <w:r w:rsidRPr="00871B2A">
        <w:rPr>
          <w:rFonts w:asciiTheme="majorBidi" w:hAnsiTheme="majorBidi" w:cstheme="majorBidi"/>
          <w:b/>
          <w:bCs/>
          <w:color w:val="12426D"/>
          <w:sz w:val="28"/>
          <w:szCs w:val="28"/>
          <w:u w:val="thick"/>
          <w:lang w:val="en-ZA" w:bidi="ar-DZ"/>
        </w:rPr>
        <w:t>Synopsis:</w:t>
      </w:r>
    </w:p>
    <w:p w:rsidR="00627BC4" w:rsidRDefault="00627BC4" w:rsidP="00627BC4">
      <w:pPr>
        <w:spacing w:line="276" w:lineRule="auto"/>
        <w:ind w:firstLine="567"/>
        <w:jc w:val="both"/>
        <w:rPr>
          <w:rFonts w:asciiTheme="majorBidi" w:hAnsiTheme="majorBidi" w:cstheme="majorBidi"/>
          <w:sz w:val="28"/>
          <w:szCs w:val="28"/>
          <w:lang w:val="en-ZA" w:bidi="ar-DZ"/>
        </w:rPr>
      </w:pPr>
      <w:r w:rsidRPr="00871B2A">
        <w:rPr>
          <w:rFonts w:asciiTheme="majorBidi" w:hAnsiTheme="majorBidi" w:cstheme="majorBidi"/>
          <w:sz w:val="28"/>
          <w:szCs w:val="28"/>
          <w:lang w:val="en-ZA" w:bidi="ar-DZ"/>
        </w:rPr>
        <w:t>This study aims to shed light on the efforts to modernize the budgetary system in Algeria and its impact on the policy of rationalizing public expenditures, in light of the new principles introduced by Organic Law No. 18-15 on Finance Laws. These reforms have been implemented through the adoption of modern mechanisms based on the principle of results-oriented management, which seeks to enhance the efficiency and e</w:t>
      </w:r>
      <w:r>
        <w:rPr>
          <w:rFonts w:asciiTheme="majorBidi" w:hAnsiTheme="majorBidi" w:cstheme="majorBidi"/>
          <w:sz w:val="28"/>
          <w:szCs w:val="28"/>
          <w:lang w:val="en-ZA" w:bidi="ar-DZ"/>
        </w:rPr>
        <w:t>ffectiveness of public spending</w:t>
      </w:r>
      <w:r w:rsidRPr="001909F1">
        <w:rPr>
          <w:rFonts w:asciiTheme="majorBidi" w:hAnsiTheme="majorBidi" w:cstheme="majorBidi"/>
          <w:sz w:val="28"/>
          <w:szCs w:val="28"/>
          <w:lang w:val="en-ZA" w:bidi="ar-DZ"/>
        </w:rPr>
        <w:t>.</w:t>
      </w:r>
    </w:p>
    <w:p w:rsidR="00627BC4" w:rsidRPr="00871B2A" w:rsidRDefault="00627BC4" w:rsidP="00627BC4">
      <w:pPr>
        <w:spacing w:line="276" w:lineRule="auto"/>
        <w:ind w:firstLine="567"/>
        <w:jc w:val="both"/>
        <w:rPr>
          <w:rFonts w:asciiTheme="majorBidi" w:hAnsiTheme="majorBidi" w:cstheme="majorBidi"/>
          <w:sz w:val="28"/>
          <w:szCs w:val="28"/>
          <w:lang w:val="en-ZA" w:bidi="ar-DZ"/>
        </w:rPr>
      </w:pPr>
      <w:r>
        <w:rPr>
          <w:rFonts w:asciiTheme="majorBidi" w:hAnsiTheme="majorBidi" w:cstheme="majorBidi" w:hint="cs"/>
          <w:sz w:val="28"/>
          <w:szCs w:val="28"/>
          <w:rtl/>
          <w:lang w:val="en-ZA" w:bidi="ar-DZ"/>
        </w:rPr>
        <w:t xml:space="preserve"> </w:t>
      </w:r>
      <w:r w:rsidRPr="00871B2A">
        <w:rPr>
          <w:rFonts w:asciiTheme="majorBidi" w:hAnsiTheme="majorBidi" w:cstheme="majorBidi"/>
          <w:sz w:val="28"/>
          <w:szCs w:val="28"/>
          <w:lang w:val="en-ZA" w:bidi="ar-DZ"/>
        </w:rPr>
        <w:t>To achieve the objectives of the study, budget programming documents issued by the Budgetary Control Department of the Wilaya of Setif were analyzed. This was done to examine how budgetary control is exercised and to assess the extent to which these practices align with the new principles introduced by the reform.</w:t>
      </w:r>
    </w:p>
    <w:p w:rsidR="00786F0E" w:rsidRDefault="00627BC4" w:rsidP="00627BC4">
      <w:pPr>
        <w:rPr>
          <w:rFonts w:asciiTheme="majorBidi" w:hAnsiTheme="majorBidi" w:cstheme="majorBidi"/>
          <w:sz w:val="28"/>
          <w:szCs w:val="28"/>
          <w:lang w:val="en-ZA" w:bidi="ar-DZ"/>
        </w:rPr>
      </w:pPr>
      <w:r w:rsidRPr="00871B2A">
        <w:rPr>
          <w:rFonts w:asciiTheme="majorBidi" w:hAnsiTheme="majorBidi" w:cstheme="majorBidi"/>
          <w:sz w:val="28"/>
          <w:szCs w:val="28"/>
          <w:lang w:val="en-ZA" w:bidi="ar-DZ"/>
        </w:rPr>
        <w:t>The study concludes that the budgetary reform constitutes a fundamental step towards expenditure rationalization by improving budget execution methods, enhancing transparency, developing control mechanisms, and reducing waste and overspending. Moreover, the reform emphasizes the linkage between expenditures and outcomes by transitioning from a means-based budget to a program-based</w:t>
      </w:r>
    </w:p>
    <w:p w:rsidR="00627BC4" w:rsidRPr="00871B2A" w:rsidRDefault="00627BC4" w:rsidP="00627BC4">
      <w:pPr>
        <w:spacing w:line="276" w:lineRule="auto"/>
        <w:ind w:firstLine="567"/>
        <w:jc w:val="both"/>
        <w:rPr>
          <w:rFonts w:asciiTheme="majorBidi" w:hAnsiTheme="majorBidi" w:cstheme="majorBidi"/>
          <w:sz w:val="28"/>
          <w:szCs w:val="28"/>
          <w:lang w:val="en-ZA" w:bidi="ar-DZ"/>
        </w:rPr>
      </w:pPr>
      <w:proofErr w:type="gramStart"/>
      <w:r w:rsidRPr="00871B2A">
        <w:rPr>
          <w:rFonts w:asciiTheme="majorBidi" w:hAnsiTheme="majorBidi" w:cstheme="majorBidi"/>
          <w:sz w:val="28"/>
          <w:szCs w:val="28"/>
          <w:lang w:val="en-ZA" w:bidi="ar-DZ"/>
        </w:rPr>
        <w:t>budget</w:t>
      </w:r>
      <w:proofErr w:type="gramEnd"/>
      <w:r w:rsidRPr="00871B2A">
        <w:rPr>
          <w:rFonts w:asciiTheme="majorBidi" w:hAnsiTheme="majorBidi" w:cstheme="majorBidi"/>
          <w:sz w:val="28"/>
          <w:szCs w:val="28"/>
          <w:lang w:val="en-ZA" w:bidi="ar-DZ"/>
        </w:rPr>
        <w:t>, and by adopting multi-year budget programming, which contributes to better financial resource planning and management.</w:t>
      </w:r>
    </w:p>
    <w:p w:rsidR="00627BC4" w:rsidRPr="00871B2A" w:rsidRDefault="00627BC4" w:rsidP="00627BC4">
      <w:pPr>
        <w:spacing w:line="276" w:lineRule="auto"/>
        <w:jc w:val="both"/>
        <w:rPr>
          <w:rFonts w:asciiTheme="majorBidi" w:hAnsiTheme="majorBidi" w:cstheme="majorBidi"/>
          <w:sz w:val="28"/>
          <w:szCs w:val="28"/>
          <w:lang w:val="en-ZA" w:bidi="ar-DZ"/>
        </w:rPr>
      </w:pPr>
      <w:r w:rsidRPr="001909F1">
        <w:rPr>
          <w:rFonts w:asciiTheme="majorBidi" w:hAnsiTheme="majorBidi" w:cstheme="majorBidi"/>
          <w:b/>
          <w:bCs/>
          <w:color w:val="12426D"/>
          <w:sz w:val="28"/>
          <w:szCs w:val="28"/>
          <w:u w:val="thick"/>
          <w:lang w:val="en-ZA" w:bidi="ar-DZ"/>
        </w:rPr>
        <w:lastRenderedPageBreak/>
        <w:t>Keywords:</w:t>
      </w:r>
      <w:r>
        <w:rPr>
          <w:rFonts w:asciiTheme="majorBidi" w:hAnsiTheme="majorBidi" w:cstheme="majorBidi"/>
          <w:sz w:val="28"/>
          <w:szCs w:val="28"/>
          <w:lang w:val="en-ZA" w:bidi="ar-DZ"/>
        </w:rPr>
        <w:t xml:space="preserve"> </w:t>
      </w:r>
      <w:r w:rsidRPr="00871B2A">
        <w:rPr>
          <w:rFonts w:asciiTheme="majorBidi" w:hAnsiTheme="majorBidi" w:cstheme="majorBidi"/>
          <w:sz w:val="28"/>
          <w:szCs w:val="28"/>
          <w:lang w:val="en-ZA" w:bidi="ar-DZ"/>
        </w:rPr>
        <w:t>Budgetary reform, Organic Law No. 18-15 on Finance Laws, rationalization of public expenditures, budgetary control, budgetary programming.</w:t>
      </w:r>
    </w:p>
    <w:p w:rsidR="00627BC4" w:rsidRPr="00627BC4" w:rsidRDefault="00627BC4" w:rsidP="00627BC4">
      <w:pPr>
        <w:rPr>
          <w:lang w:val="en-ZA"/>
        </w:rPr>
      </w:pPr>
    </w:p>
    <w:sectPr w:rsidR="00627BC4" w:rsidRPr="00627BC4" w:rsidSect="00627BC4">
      <w:pgSz w:w="11906" w:h="16838"/>
      <w:pgMar w:top="720" w:right="720" w:bottom="720" w:left="720" w:header="708" w:footer="708" w:gutter="0"/>
      <w:pgBorders w:offsetFrom="page">
        <w:top w:val="single" w:sz="6" w:space="24" w:color="0070C0"/>
        <w:left w:val="single" w:sz="6" w:space="24" w:color="0070C0"/>
        <w:bottom w:val="single" w:sz="6" w:space="24" w:color="0070C0"/>
        <w:right w:val="single" w:sz="6"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627BC4"/>
    <w:rsid w:val="00297AE3"/>
    <w:rsid w:val="00627BC4"/>
    <w:rsid w:val="00786F0E"/>
    <w:rsid w:val="00CA3B0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BC4"/>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386</Words>
  <Characters>2125</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2025-07-14T11:55:00Z</dcterms:created>
  <dcterms:modified xsi:type="dcterms:W3CDTF">2025-07-14T12:00:00Z</dcterms:modified>
</cp:coreProperties>
</file>