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7B4" w:rsidRDefault="00E767B4" w:rsidP="00E767B4">
      <w:pPr>
        <w:tabs>
          <w:tab w:val="right" w:pos="9972"/>
        </w:tabs>
        <w:jc w:val="left"/>
        <w:rPr>
          <w:rFonts w:ascii="Sakkal Majalla" w:hAnsi="Sakkal Majalla" w:cs="Sakkal Majalla"/>
          <w:b/>
          <w:bCs/>
          <w:color w:val="auto"/>
          <w:sz w:val="32"/>
          <w:szCs w:val="32"/>
          <w:rtl/>
          <w:lang w:bidi="ar-DZ"/>
        </w:rPr>
      </w:pPr>
      <w:r>
        <w:rPr>
          <w:rFonts w:ascii="Sakkal Majalla" w:hAnsi="Sakkal Majalla" w:cs="Sakkal Majalla" w:hint="cs"/>
          <w:b/>
          <w:bCs/>
          <w:color w:val="auto"/>
          <w:sz w:val="32"/>
          <w:szCs w:val="32"/>
          <w:rtl/>
          <w:lang w:bidi="ar-DZ"/>
        </w:rPr>
        <w:t>الملخص</w:t>
      </w:r>
    </w:p>
    <w:p w:rsidR="00E767B4" w:rsidRPr="001778D9" w:rsidRDefault="00E767B4" w:rsidP="00E767B4">
      <w:pPr>
        <w:ind w:left="-170"/>
        <w:jc w:val="left"/>
        <w:rPr>
          <w:rFonts w:ascii="Sakkal Majalla" w:hAnsi="Sakkal Majalla" w:cs="Sakkal Majalla"/>
          <w:sz w:val="32"/>
          <w:szCs w:val="32"/>
          <w:rtl/>
          <w:lang w:val="en-CA" w:bidi="ar-DZ"/>
        </w:rPr>
      </w:pPr>
      <w:r w:rsidRPr="001778D9">
        <w:rPr>
          <w:rFonts w:ascii="Sakkal Majalla" w:hAnsi="Sakkal Majalla" w:cs="Sakkal Majalla"/>
          <w:sz w:val="32"/>
          <w:szCs w:val="32"/>
          <w:rtl/>
          <w:lang w:bidi="ar-DZ"/>
        </w:rPr>
        <w:t xml:space="preserve">تهدف هذه الدراسة </w:t>
      </w:r>
      <w:r w:rsidRPr="001778D9">
        <w:rPr>
          <w:rFonts w:ascii="Sakkal Majalla" w:hAnsi="Sakkal Majalla" w:cs="Sakkal Majalla" w:hint="cs"/>
          <w:sz w:val="32"/>
          <w:szCs w:val="32"/>
          <w:rtl/>
          <w:lang w:bidi="ar-DZ"/>
        </w:rPr>
        <w:t xml:space="preserve">لمعرفة </w:t>
      </w:r>
      <w:r w:rsidRPr="001778D9">
        <w:rPr>
          <w:rFonts w:ascii="Sakkal Majalla" w:hAnsi="Sakkal Majalla" w:cs="Sakkal Majalla"/>
          <w:sz w:val="32"/>
          <w:szCs w:val="32"/>
          <w:rtl/>
          <w:lang w:bidi="ar-DZ"/>
        </w:rPr>
        <w:t>مدى فاعلية البنوك ا</w:t>
      </w:r>
      <w:r w:rsidRPr="001778D9">
        <w:rPr>
          <w:rFonts w:ascii="Sakkal Majalla" w:hAnsi="Sakkal Majalla" w:cs="Sakkal Majalla" w:hint="cs"/>
          <w:sz w:val="32"/>
          <w:szCs w:val="32"/>
          <w:rtl/>
          <w:lang w:bidi="ar-DZ"/>
        </w:rPr>
        <w:t xml:space="preserve">لإسلامية </w:t>
      </w:r>
      <w:r w:rsidRPr="001778D9">
        <w:rPr>
          <w:rFonts w:ascii="Sakkal Majalla" w:hAnsi="Sakkal Majalla" w:cs="Sakkal Majalla"/>
          <w:sz w:val="32"/>
          <w:szCs w:val="32"/>
          <w:rtl/>
          <w:lang w:bidi="ar-DZ"/>
        </w:rPr>
        <w:t xml:space="preserve">في تمويل المؤسسات بالاعتماد على الصيغ الإسلامية، وذلك من خلال دراسة ميدانية على مستوى </w:t>
      </w:r>
      <w:r>
        <w:rPr>
          <w:rFonts w:ascii="Sakkal Majalla" w:hAnsi="Sakkal Majalla" w:cs="Sakkal Majalla" w:hint="cs"/>
          <w:sz w:val="32"/>
          <w:szCs w:val="32"/>
          <w:rtl/>
          <w:lang w:bidi="ar-DZ"/>
        </w:rPr>
        <w:t>ال</w:t>
      </w:r>
      <w:r w:rsidRPr="001778D9">
        <w:rPr>
          <w:rFonts w:ascii="Sakkal Majalla" w:hAnsi="Sakkal Majalla" w:cs="Sakkal Majalla"/>
          <w:sz w:val="32"/>
          <w:szCs w:val="32"/>
          <w:rtl/>
          <w:lang w:bidi="ar-DZ"/>
        </w:rPr>
        <w:t xml:space="preserve">وكالة 711 التابعة للبنك الوطني الجزائري </w:t>
      </w:r>
      <w:r w:rsidRPr="001778D9">
        <w:rPr>
          <w:rFonts w:ascii="Sakkal Majalla" w:hAnsi="Sakkal Majalla" w:cs="Sakkal Majalla" w:hint="cs"/>
          <w:sz w:val="32"/>
          <w:szCs w:val="32"/>
          <w:rtl/>
          <w:lang w:bidi="ar-DZ"/>
        </w:rPr>
        <w:t xml:space="preserve">خلال الفترة الممتدة من 2021 إلى 2024. ولتحقيق هدف الدراسة تم الاعتماد على المنهج الوصفي التحليلي كأداة رئيسية في تحليل المعطيات والبيانات المقدمة من طرف البنك الوطني الجزائري، وخلصت إلى أن صيغة المرابحة تعد الأكثر استخداما في تمويل المؤسسات نظرا لبساطتها وقلة مخاطرها. في حين بقي استخدام صيغتي المضاربة والسلم محدودا بسبب تعقيدات التنفيذ وارتفاع المخاطر. كما كشفت نتائج الدراسة أن جميع المنتجات التمويلية الإسلامية متطابقة مع مبادئ الشريعة الإسلامية وهذا يعزز الثقة والقبول للعملاء، وكذلك التمويل الإسلامي الذي شهد نموا ملحوظا في السنوات (2021- 2024) بارتفاع نسبته إلى </w:t>
      </w:r>
      <w:r w:rsidRPr="001778D9">
        <w:rPr>
          <w:rFonts w:ascii="Sakkal Majalla" w:hAnsi="Sakkal Majalla" w:cs="Sakkal Majalla"/>
          <w:sz w:val="32"/>
          <w:szCs w:val="32"/>
          <w:lang w:bidi="ar-DZ"/>
        </w:rPr>
        <w:t>34.97</w:t>
      </w:r>
      <w:r w:rsidRPr="001778D9">
        <w:rPr>
          <w:rFonts w:ascii="Sakkal Majalla" w:hAnsi="Sakkal Majalla" w:cs="Sakkal Majalla" w:hint="cs"/>
          <w:sz w:val="32"/>
          <w:szCs w:val="32"/>
          <w:rtl/>
          <w:lang w:bidi="ar-DZ"/>
        </w:rPr>
        <w:t xml:space="preserve"> </w:t>
      </w:r>
      <w:r w:rsidRPr="001778D9">
        <w:rPr>
          <w:rFonts w:ascii="Sakkal Majalla" w:hAnsi="Sakkal Majalla" w:cs="Sakkal Majalla"/>
          <w:sz w:val="32"/>
          <w:szCs w:val="32"/>
          <w:lang w:val="fr-FR" w:bidi="ar-DZ"/>
        </w:rPr>
        <w:t>%</w:t>
      </w:r>
      <w:r w:rsidRPr="001778D9">
        <w:rPr>
          <w:rFonts w:ascii="Sakkal Majalla" w:hAnsi="Sakkal Majalla" w:cs="Sakkal Majalla"/>
          <w:sz w:val="32"/>
          <w:szCs w:val="32"/>
          <w:rtl/>
          <w:lang w:val="fr-FR" w:bidi="ar-DZ"/>
        </w:rPr>
        <w:t>،</w:t>
      </w:r>
      <w:r w:rsidRPr="001778D9">
        <w:rPr>
          <w:rFonts w:ascii="Sakkal Majalla" w:hAnsi="Sakkal Majalla" w:cs="Sakkal Majalla" w:hint="cs"/>
          <w:sz w:val="32"/>
          <w:szCs w:val="32"/>
          <w:rtl/>
          <w:lang w:val="fr-BE" w:bidi="ar-DZ"/>
        </w:rPr>
        <w:t xml:space="preserve"> وأيضا بلغت حصة صيغة السلم </w:t>
      </w:r>
      <w:r w:rsidRPr="001778D9">
        <w:rPr>
          <w:rFonts w:ascii="Sakkal Majalla" w:hAnsi="Sakkal Majalla" w:cs="Sakkal Majalla"/>
          <w:sz w:val="32"/>
          <w:szCs w:val="32"/>
          <w:lang w:val="fr-FR" w:bidi="ar-DZ"/>
        </w:rPr>
        <w:t>%</w:t>
      </w:r>
      <w:r w:rsidRPr="001778D9">
        <w:rPr>
          <w:rFonts w:ascii="Sakkal Majalla" w:hAnsi="Sakkal Majalla" w:cs="Sakkal Majalla" w:hint="cs"/>
          <w:sz w:val="32"/>
          <w:szCs w:val="32"/>
          <w:rtl/>
          <w:lang w:val="fr-BE" w:bidi="ar-DZ"/>
        </w:rPr>
        <w:t>0</w:t>
      </w:r>
      <w:r w:rsidRPr="001778D9">
        <w:rPr>
          <w:rFonts w:ascii="Sakkal Majalla" w:hAnsi="Sakkal Majalla" w:cs="Sakkal Majalla" w:hint="cs"/>
          <w:sz w:val="32"/>
          <w:szCs w:val="32"/>
          <w:rtl/>
          <w:lang w:val="en-CA" w:bidi="ar-DZ"/>
        </w:rPr>
        <w:t>، مما يشير إلى أن البنك يقدم هذا المنتج لكن لا يوجد طلب عليه من المؤسسات نظرا لتكلفته المرتفعة.</w:t>
      </w:r>
    </w:p>
    <w:p w:rsidR="00E767B4" w:rsidRDefault="00E767B4" w:rsidP="00E767B4">
      <w:pPr>
        <w:ind w:left="-170"/>
        <w:jc w:val="left"/>
        <w:rPr>
          <w:rFonts w:ascii="Sakkal Majalla" w:hAnsi="Sakkal Majalla" w:cs="Sakkal Majalla"/>
          <w:sz w:val="32"/>
          <w:szCs w:val="32"/>
          <w:rtl/>
          <w:lang w:val="en-CA" w:bidi="ar-DZ"/>
        </w:rPr>
      </w:pPr>
      <w:r>
        <w:rPr>
          <w:rFonts w:ascii="Sakkal Majalla" w:hAnsi="Sakkal Majalla" w:cs="Sakkal Majalla" w:hint="cs"/>
          <w:b/>
          <w:bCs/>
          <w:sz w:val="32"/>
          <w:szCs w:val="32"/>
          <w:rtl/>
          <w:lang w:val="en-CA" w:bidi="ar-DZ"/>
        </w:rPr>
        <w:t>ال</w:t>
      </w:r>
      <w:r w:rsidRPr="002F3D9D">
        <w:rPr>
          <w:rFonts w:ascii="Sakkal Majalla" w:hAnsi="Sakkal Majalla" w:cs="Sakkal Majalla" w:hint="cs"/>
          <w:b/>
          <w:bCs/>
          <w:sz w:val="32"/>
          <w:szCs w:val="32"/>
          <w:rtl/>
          <w:lang w:val="en-CA" w:bidi="ar-DZ"/>
        </w:rPr>
        <w:t xml:space="preserve">كلمات </w:t>
      </w:r>
      <w:r>
        <w:rPr>
          <w:rFonts w:ascii="Sakkal Majalla" w:hAnsi="Sakkal Majalla" w:cs="Sakkal Majalla" w:hint="cs"/>
          <w:b/>
          <w:bCs/>
          <w:sz w:val="32"/>
          <w:szCs w:val="32"/>
          <w:rtl/>
          <w:lang w:val="en-CA" w:bidi="ar-DZ"/>
        </w:rPr>
        <w:t>ال</w:t>
      </w:r>
      <w:r w:rsidRPr="002F3D9D">
        <w:rPr>
          <w:rFonts w:ascii="Sakkal Majalla" w:hAnsi="Sakkal Majalla" w:cs="Sakkal Majalla" w:hint="cs"/>
          <w:b/>
          <w:bCs/>
          <w:sz w:val="32"/>
          <w:szCs w:val="32"/>
          <w:rtl/>
          <w:lang w:val="en-CA" w:bidi="ar-DZ"/>
        </w:rPr>
        <w:t>مفتاحية</w:t>
      </w:r>
      <w:r>
        <w:rPr>
          <w:rFonts w:ascii="Sakkal Majalla" w:hAnsi="Sakkal Majalla" w:cs="Sakkal Majalla" w:hint="cs"/>
          <w:sz w:val="32"/>
          <w:szCs w:val="32"/>
          <w:rtl/>
          <w:lang w:val="en-CA" w:bidi="ar-DZ"/>
        </w:rPr>
        <w:t>: البنوك الإسلامية، التمويل الإسلامي، صيغ التمويل الإسلامي، المؤسسات، البنك الوطني الجزائري.</w:t>
      </w:r>
    </w:p>
    <w:p w:rsidR="00E767B4" w:rsidRPr="001778D9" w:rsidRDefault="00E767B4" w:rsidP="00E767B4">
      <w:pPr>
        <w:ind w:left="-170"/>
        <w:rPr>
          <w:rFonts w:asciiTheme="majorBidi" w:hAnsiTheme="majorBidi" w:cstheme="majorBidi"/>
          <w:sz w:val="28"/>
          <w:szCs w:val="28"/>
          <w:lang w:val="fr-FR" w:bidi="ar-DZ"/>
        </w:rPr>
      </w:pPr>
      <w:r w:rsidRPr="001778D9">
        <w:rPr>
          <w:rFonts w:asciiTheme="majorBidi" w:hAnsiTheme="majorBidi" w:cstheme="majorBidi"/>
          <w:sz w:val="28"/>
          <w:szCs w:val="28"/>
          <w:lang w:val="fr-FR" w:bidi="ar-DZ"/>
        </w:rPr>
        <w:t>Abstract</w:t>
      </w:r>
    </w:p>
    <w:p w:rsidR="00E767B4" w:rsidRPr="001778D9" w:rsidRDefault="00E767B4" w:rsidP="00E767B4">
      <w:pPr>
        <w:ind w:left="-170"/>
        <w:rPr>
          <w:rFonts w:asciiTheme="majorBidi" w:hAnsiTheme="majorBidi" w:cstheme="majorBidi"/>
          <w:sz w:val="28"/>
          <w:szCs w:val="28"/>
          <w:lang w:val="en-CA" w:bidi="ar-DZ"/>
        </w:rPr>
      </w:pPr>
      <w:r w:rsidRPr="001778D9">
        <w:rPr>
          <w:rFonts w:asciiTheme="majorBidi" w:hAnsiTheme="majorBidi" w:cstheme="majorBidi"/>
          <w:sz w:val="28"/>
          <w:szCs w:val="28"/>
          <w:lang w:val="fr-FR" w:bidi="ar-DZ"/>
        </w:rPr>
        <w:t xml:space="preserve">This study aims to assess the effectiveness of </w:t>
      </w:r>
      <w:r w:rsidRPr="001778D9">
        <w:rPr>
          <w:rFonts w:asciiTheme="majorBidi" w:hAnsiTheme="majorBidi" w:cstheme="majorBidi"/>
          <w:sz w:val="28"/>
          <w:szCs w:val="28"/>
          <w:lang w:val="en-ZA" w:bidi="ar-DZ"/>
        </w:rPr>
        <w:t>Isla</w:t>
      </w:r>
      <w:r w:rsidRPr="001778D9">
        <w:rPr>
          <w:rFonts w:asciiTheme="majorBidi" w:hAnsiTheme="majorBidi" w:cstheme="majorBidi"/>
          <w:sz w:val="28"/>
          <w:szCs w:val="28"/>
          <w:lang w:val="en-CA" w:bidi="ar-DZ"/>
        </w:rPr>
        <w:t>mic</w:t>
      </w:r>
      <w:r w:rsidRPr="001778D9">
        <w:rPr>
          <w:rFonts w:asciiTheme="majorBidi" w:hAnsiTheme="majorBidi" w:cstheme="majorBidi"/>
          <w:sz w:val="28"/>
          <w:szCs w:val="28"/>
          <w:lang w:val="fr-FR" w:bidi="ar-DZ"/>
        </w:rPr>
        <w:t xml:space="preserve"> banks in financing entreprises through islamic financing instruments, by conducting a field study at branch</w:t>
      </w:r>
      <w:bookmarkStart w:id="0" w:name="_GoBack"/>
      <w:bookmarkEnd w:id="0"/>
      <w:r w:rsidRPr="001778D9">
        <w:rPr>
          <w:rFonts w:asciiTheme="majorBidi" w:hAnsiTheme="majorBidi" w:cstheme="majorBidi"/>
          <w:sz w:val="28"/>
          <w:szCs w:val="28"/>
          <w:lang w:val="fr-FR" w:bidi="ar-DZ"/>
        </w:rPr>
        <w:t xml:space="preserve"> 711 of the Banque Nationale d'Algérie over the period from 2021 to 2024. To achieve the study's objective, the descriptive- analytical method was employed as the primary tool for analyzing the data and information provided by the Banque Nationale d'Algérie. The study found that Murabaha is the most widely used islamic financing instrument for entreprises, due to it</w:t>
      </w:r>
      <w:r>
        <w:rPr>
          <w:rFonts w:asciiTheme="majorBidi" w:hAnsiTheme="majorBidi" w:cstheme="majorBidi"/>
          <w:sz w:val="28"/>
          <w:szCs w:val="28"/>
          <w:lang w:val="fr-FR" w:bidi="ar-DZ"/>
        </w:rPr>
        <w:t>s</w:t>
      </w:r>
      <w:r w:rsidRPr="001778D9">
        <w:rPr>
          <w:rFonts w:asciiTheme="majorBidi" w:hAnsiTheme="majorBidi" w:cstheme="majorBidi"/>
          <w:sz w:val="28"/>
          <w:szCs w:val="28"/>
          <w:lang w:val="fr-FR" w:bidi="ar-DZ"/>
        </w:rPr>
        <w:t xml:space="preserve"> simplicity and low risk. In contrast, the use of Mudaraba and Salam contracts remains limited, owing to their complex implementation procedures and higher associated risks. The results further indicated that all islamic financing products offered are compliant with the </w:t>
      </w:r>
      <w:r>
        <w:rPr>
          <w:rFonts w:asciiTheme="majorBidi" w:hAnsiTheme="majorBidi" w:cstheme="majorBidi"/>
          <w:sz w:val="28"/>
          <w:szCs w:val="28"/>
          <w:lang w:val="fr-FR" w:bidi="ar-DZ"/>
        </w:rPr>
        <w:t>p</w:t>
      </w:r>
      <w:r w:rsidRPr="001778D9">
        <w:rPr>
          <w:rFonts w:asciiTheme="majorBidi" w:hAnsiTheme="majorBidi" w:cstheme="majorBidi"/>
          <w:sz w:val="28"/>
          <w:szCs w:val="28"/>
          <w:lang w:val="fr-FR" w:bidi="ar-DZ"/>
        </w:rPr>
        <w:t>rinciples of Islamic Sharia, which enhances customer confidence and acceptance. Moreover, islamic financing recorded a remarkable growth during the years 2021- 2024, with an increase of 34.97%. The share of the Salam contract stood at 0%, suggesting that although this product is offered by the bank, there is no demand for it among entreprises due to its high cost.</w:t>
      </w:r>
    </w:p>
    <w:p w:rsidR="00E767B4" w:rsidRPr="001778D9" w:rsidRDefault="00E767B4" w:rsidP="00E767B4">
      <w:pPr>
        <w:ind w:left="-170"/>
        <w:rPr>
          <w:rFonts w:asciiTheme="majorBidi" w:hAnsiTheme="majorBidi" w:cstheme="majorBidi"/>
          <w:sz w:val="28"/>
          <w:szCs w:val="28"/>
          <w:lang w:val="fr-FR" w:bidi="ar-DZ"/>
        </w:rPr>
      </w:pPr>
      <w:r w:rsidRPr="001778D9">
        <w:rPr>
          <w:rFonts w:asciiTheme="majorBidi" w:hAnsiTheme="majorBidi" w:cstheme="majorBidi"/>
          <w:sz w:val="28"/>
          <w:szCs w:val="28"/>
          <w:lang w:val="fr-FR" w:bidi="ar-DZ"/>
        </w:rPr>
        <w:t xml:space="preserve">Keywords : Islamic Banks, Islamic Financing, Islamic Financing Instruments, Entreprises, Algerian National Bank. </w:t>
      </w:r>
    </w:p>
    <w:p w:rsidR="009B62BF" w:rsidRDefault="009B62BF" w:rsidP="00E767B4"/>
    <w:sectPr w:rsidR="009B62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B4"/>
    <w:rsid w:val="001170DC"/>
    <w:rsid w:val="00601FC7"/>
    <w:rsid w:val="009B62BF"/>
    <w:rsid w:val="00B2274C"/>
    <w:rsid w:val="00E767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CD52E-9CF7-4EAB-9D20-9445224E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7B4"/>
    <w:pPr>
      <w:bidi/>
      <w:jc w:val="right"/>
    </w:pPr>
    <w:rPr>
      <w:rFonts w:ascii="Calibri" w:eastAsia="Calibri" w:hAnsi="Calibri" w:cs="Calibri"/>
      <w:color w:val="000000"/>
      <w:kern w:val="0"/>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1941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taallahradhia@gmail.com</dc:creator>
  <cp:keywords/>
  <dc:description/>
  <cp:lastModifiedBy>taallahradhia@gmail.com</cp:lastModifiedBy>
  <cp:revision>1</cp:revision>
  <dcterms:created xsi:type="dcterms:W3CDTF">2025-07-13T08:44:00Z</dcterms:created>
  <dcterms:modified xsi:type="dcterms:W3CDTF">2025-07-13T08:45:00Z</dcterms:modified>
</cp:coreProperties>
</file>