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CA73" w14:textId="77777777" w:rsidR="004B79A4" w:rsidRPr="004B79A4" w:rsidRDefault="004B79A4" w:rsidP="004B79A4">
      <w:pPr>
        <w:bidi/>
        <w:jc w:val="both"/>
        <w:rPr>
          <w:rFonts w:ascii="Sakkal Majalla" w:hAnsi="Sakkal Majalla" w:cs="Sakkal Majalla"/>
          <w:b/>
          <w:bCs/>
          <w:sz w:val="32"/>
          <w:szCs w:val="32"/>
        </w:rPr>
      </w:pPr>
      <w:r w:rsidRPr="004B79A4">
        <w:rPr>
          <w:rFonts w:ascii="Sakkal Majalla" w:hAnsi="Sakkal Majalla" w:cs="Sakkal Majalla"/>
          <w:b/>
          <w:bCs/>
          <w:sz w:val="32"/>
          <w:szCs w:val="32"/>
          <w:rtl/>
        </w:rPr>
        <w:t>الملخص</w:t>
      </w:r>
      <w:r w:rsidRPr="004B79A4">
        <w:rPr>
          <w:rFonts w:ascii="Sakkal Majalla" w:hAnsi="Sakkal Majalla" w:cs="Sakkal Majalla"/>
          <w:b/>
          <w:bCs/>
          <w:sz w:val="32"/>
          <w:szCs w:val="32"/>
        </w:rPr>
        <w:t>:</w:t>
      </w:r>
    </w:p>
    <w:p w14:paraId="4E016B54" w14:textId="77777777" w:rsidR="004B79A4" w:rsidRPr="004B79A4" w:rsidRDefault="004B79A4" w:rsidP="004B79A4">
      <w:pPr>
        <w:bidi/>
        <w:jc w:val="both"/>
        <w:rPr>
          <w:rFonts w:ascii="Sakkal Majalla" w:hAnsi="Sakkal Majalla" w:cs="Sakkal Majalla"/>
          <w:sz w:val="32"/>
          <w:szCs w:val="32"/>
        </w:rPr>
      </w:pPr>
      <w:r w:rsidRPr="004B79A4">
        <w:rPr>
          <w:rFonts w:ascii="Sakkal Majalla" w:hAnsi="Sakkal Majalla" w:cs="Sakkal Majalla"/>
          <w:sz w:val="32"/>
          <w:szCs w:val="32"/>
        </w:rPr>
        <w:t xml:space="preserve">   </w:t>
      </w:r>
      <w:r w:rsidRPr="004B79A4">
        <w:rPr>
          <w:rFonts w:ascii="Sakkal Majalla" w:hAnsi="Sakkal Majalla" w:cs="Sakkal Majalla"/>
          <w:sz w:val="32"/>
          <w:szCs w:val="32"/>
          <w:rtl/>
        </w:rPr>
        <w:t xml:space="preserve">تمحورت هذه الدراسة حول الدور الذي تلعبه الفرق المختلطة في </w:t>
      </w:r>
      <w:proofErr w:type="gramStart"/>
      <w:r w:rsidRPr="004B79A4">
        <w:rPr>
          <w:rFonts w:ascii="Sakkal Majalla" w:hAnsi="Sakkal Majalla" w:cs="Sakkal Majalla"/>
          <w:sz w:val="32"/>
          <w:szCs w:val="32"/>
          <w:rtl/>
        </w:rPr>
        <w:t>محارية</w:t>
      </w:r>
      <w:proofErr w:type="gramEnd"/>
      <w:r w:rsidRPr="004B79A4">
        <w:rPr>
          <w:rFonts w:ascii="Sakkal Majalla" w:hAnsi="Sakkal Majalla" w:cs="Sakkal Majalla"/>
          <w:sz w:val="32"/>
          <w:szCs w:val="32"/>
          <w:rtl/>
        </w:rPr>
        <w:t xml:space="preserve"> التهرب الضريبي والتي تضم مصالح الضرائب، الجمارك والتجارة من خلال الرقابة الميدانية والتنسيق الإداري في ولاية سطيف وتم الاعتماد على المنهج الوصفي بأسلوبيه التحليلي ودراسة الحالة لمعرفة مدى فعالية هذه الفرق في الكشف عن المخالفات وكيف تساهم في محاربة التهرب الضريبي</w:t>
      </w:r>
      <w:r w:rsidRPr="004B79A4">
        <w:rPr>
          <w:rFonts w:ascii="Sakkal Majalla" w:hAnsi="Sakkal Majalla" w:cs="Sakkal Majalla"/>
          <w:sz w:val="32"/>
          <w:szCs w:val="32"/>
        </w:rPr>
        <w:t>.</w:t>
      </w:r>
    </w:p>
    <w:p w14:paraId="277F4F48" w14:textId="77777777" w:rsidR="004B79A4" w:rsidRPr="004B79A4" w:rsidRDefault="004B79A4" w:rsidP="004B79A4">
      <w:pPr>
        <w:bidi/>
        <w:jc w:val="both"/>
        <w:rPr>
          <w:rFonts w:ascii="Sakkal Majalla" w:hAnsi="Sakkal Majalla" w:cs="Sakkal Majalla"/>
          <w:sz w:val="32"/>
          <w:szCs w:val="32"/>
        </w:rPr>
      </w:pPr>
      <w:r w:rsidRPr="004B79A4">
        <w:rPr>
          <w:rFonts w:ascii="Sakkal Majalla" w:hAnsi="Sakkal Majalla" w:cs="Sakkal Majalla"/>
          <w:sz w:val="32"/>
          <w:szCs w:val="32"/>
          <w:rtl/>
        </w:rPr>
        <w:t>وتوصلت الدراسة إلى أن هذه الفرق هي تجربة ناجحة تحتاج إلى المزيد من التطوير والدعم لزيادة فعاليتها</w:t>
      </w:r>
      <w:r w:rsidRPr="004B79A4">
        <w:rPr>
          <w:rFonts w:ascii="Sakkal Majalla" w:hAnsi="Sakkal Majalla" w:cs="Sakkal Majalla"/>
          <w:sz w:val="32"/>
          <w:szCs w:val="32"/>
        </w:rPr>
        <w:t>.</w:t>
      </w:r>
    </w:p>
    <w:p w14:paraId="5A1147DC" w14:textId="77777777" w:rsidR="004B79A4" w:rsidRDefault="004B79A4" w:rsidP="004B79A4">
      <w:pPr>
        <w:bidi/>
        <w:jc w:val="both"/>
      </w:pPr>
      <w:r w:rsidRPr="004B79A4">
        <w:rPr>
          <w:rFonts w:ascii="Sakkal Majalla" w:hAnsi="Sakkal Majalla" w:cs="Sakkal Majalla"/>
          <w:sz w:val="32"/>
          <w:szCs w:val="32"/>
          <w:rtl/>
        </w:rPr>
        <w:t>الكلمات المفتاحية: الضريبة، التهرب الضريبي، الفرق المختلطة، التنسيق، الغش الضريبي، التجنب الضريبي</w:t>
      </w:r>
      <w:r>
        <w:t>.</w:t>
      </w:r>
    </w:p>
    <w:p w14:paraId="63FEA06E" w14:textId="77777777" w:rsidR="004B79A4" w:rsidRPr="004B79A4" w:rsidRDefault="004B79A4" w:rsidP="004B79A4">
      <w:pPr>
        <w:jc w:val="both"/>
        <w:rPr>
          <w:rFonts w:asciiTheme="majorBidi" w:hAnsiTheme="majorBidi" w:cstheme="majorBidi"/>
          <w:b/>
          <w:bCs/>
          <w:sz w:val="32"/>
          <w:szCs w:val="32"/>
        </w:rPr>
      </w:pPr>
      <w:r w:rsidRPr="004B79A4">
        <w:rPr>
          <w:rFonts w:asciiTheme="majorBidi" w:hAnsiTheme="majorBidi" w:cstheme="majorBidi"/>
          <w:b/>
          <w:bCs/>
          <w:sz w:val="32"/>
          <w:szCs w:val="32"/>
        </w:rPr>
        <w:t xml:space="preserve">Summary: </w:t>
      </w:r>
    </w:p>
    <w:p w14:paraId="3A5D902D" w14:textId="77777777" w:rsidR="004B79A4" w:rsidRPr="004B79A4" w:rsidRDefault="004B79A4" w:rsidP="004B79A4">
      <w:pPr>
        <w:jc w:val="both"/>
        <w:rPr>
          <w:rFonts w:asciiTheme="majorBidi" w:hAnsiTheme="majorBidi" w:cstheme="majorBidi"/>
          <w:sz w:val="32"/>
          <w:szCs w:val="32"/>
        </w:rPr>
      </w:pPr>
      <w:r w:rsidRPr="004B79A4">
        <w:rPr>
          <w:rFonts w:asciiTheme="majorBidi" w:hAnsiTheme="majorBidi" w:cstheme="majorBidi"/>
          <w:sz w:val="32"/>
          <w:szCs w:val="32"/>
        </w:rPr>
        <w:t xml:space="preserve">       This study focused on the role of joint task forces in combating tax evasion, comprising representatives from the tax, customs, and trade departments, through field inspections and administrative coordination in the Wilaya of </w:t>
      </w:r>
      <w:proofErr w:type="spellStart"/>
      <w:r w:rsidRPr="004B79A4">
        <w:rPr>
          <w:rFonts w:asciiTheme="majorBidi" w:hAnsiTheme="majorBidi" w:cstheme="majorBidi"/>
          <w:sz w:val="32"/>
          <w:szCs w:val="32"/>
        </w:rPr>
        <w:t>Sétif</w:t>
      </w:r>
      <w:proofErr w:type="spellEnd"/>
      <w:r w:rsidRPr="004B79A4">
        <w:rPr>
          <w:rFonts w:asciiTheme="majorBidi" w:hAnsiTheme="majorBidi" w:cstheme="majorBidi"/>
          <w:sz w:val="32"/>
          <w:szCs w:val="32"/>
        </w:rPr>
        <w:t xml:space="preserve">. The study employed the descriptive analytical method and a case study approach to assess the effectiveness of these teams in detecting violations and their contribution to the fight against tax </w:t>
      </w:r>
      <w:proofErr w:type="gramStart"/>
      <w:r w:rsidRPr="004B79A4">
        <w:rPr>
          <w:rFonts w:asciiTheme="majorBidi" w:hAnsiTheme="majorBidi" w:cstheme="majorBidi"/>
          <w:sz w:val="32"/>
          <w:szCs w:val="32"/>
        </w:rPr>
        <w:t>evasion .</w:t>
      </w:r>
      <w:proofErr w:type="gramEnd"/>
    </w:p>
    <w:p w14:paraId="3270DD9F" w14:textId="77777777" w:rsidR="004B79A4" w:rsidRPr="004B79A4" w:rsidRDefault="004B79A4" w:rsidP="004B79A4">
      <w:pPr>
        <w:jc w:val="both"/>
        <w:rPr>
          <w:rFonts w:asciiTheme="majorBidi" w:hAnsiTheme="majorBidi" w:cstheme="majorBidi"/>
          <w:sz w:val="32"/>
          <w:szCs w:val="32"/>
        </w:rPr>
      </w:pPr>
      <w:r w:rsidRPr="004B79A4">
        <w:rPr>
          <w:rFonts w:asciiTheme="majorBidi" w:hAnsiTheme="majorBidi" w:cstheme="majorBidi"/>
          <w:sz w:val="32"/>
          <w:szCs w:val="32"/>
        </w:rPr>
        <w:t xml:space="preserve"> The findings revealed that these task forces represent a successful initiative that requires further development and support to enhance their effectiveness.</w:t>
      </w:r>
    </w:p>
    <w:p w14:paraId="69E5CC6A" w14:textId="2EF2FD58" w:rsidR="006D11B1" w:rsidRDefault="004B79A4" w:rsidP="004B79A4">
      <w:pPr>
        <w:jc w:val="both"/>
      </w:pPr>
      <w:r w:rsidRPr="004B79A4">
        <w:rPr>
          <w:rFonts w:asciiTheme="majorBidi" w:hAnsiTheme="majorBidi" w:cstheme="majorBidi"/>
          <w:b/>
          <w:bCs/>
          <w:sz w:val="32"/>
          <w:szCs w:val="32"/>
        </w:rPr>
        <w:t>Keywords:</w:t>
      </w:r>
      <w:r w:rsidRPr="004B79A4">
        <w:rPr>
          <w:rFonts w:asciiTheme="majorBidi" w:hAnsiTheme="majorBidi" w:cstheme="majorBidi"/>
          <w:sz w:val="32"/>
          <w:szCs w:val="32"/>
        </w:rPr>
        <w:t xml:space="preserve"> tax, tax evasion, mixed teams (trade, commercial, taxes), coordination, tax fraud, tax avoidance.</w:t>
      </w:r>
    </w:p>
    <w:p w14:paraId="59FC3E8C" w14:textId="77777777" w:rsidR="004B79A4" w:rsidRDefault="004B79A4" w:rsidP="004B79A4">
      <w:pPr>
        <w:rPr>
          <w:rtl/>
        </w:rPr>
      </w:pPr>
    </w:p>
    <w:p w14:paraId="208B21E1" w14:textId="28451357" w:rsidR="004B79A4" w:rsidRPr="004B79A4" w:rsidRDefault="004B79A4" w:rsidP="004B79A4">
      <w:pPr>
        <w:tabs>
          <w:tab w:val="left" w:pos="8021"/>
        </w:tabs>
        <w:jc w:val="right"/>
        <w:rPr>
          <w:rFonts w:ascii="All Genders v4" w:hAnsi="All Genders v4" w:cs="All Genders v4"/>
          <w:sz w:val="32"/>
          <w:szCs w:val="32"/>
        </w:rPr>
      </w:pPr>
      <w:r>
        <w:tab/>
      </w:r>
    </w:p>
    <w:sectPr w:rsidR="004B79A4" w:rsidRPr="004B79A4" w:rsidSect="004B79A4">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ll Genders v4">
    <w:panose1 w:val="00000800000000000000"/>
    <w:charset w:val="00"/>
    <w:family w:val="modern"/>
    <w:notTrueType/>
    <w:pitch w:val="variable"/>
    <w:sig w:usb0="00002003" w:usb1="0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A4"/>
    <w:rsid w:val="004B79A4"/>
    <w:rsid w:val="006D11B1"/>
    <w:rsid w:val="006E3C2F"/>
    <w:rsid w:val="008A6369"/>
    <w:rsid w:val="008C68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A8A5B"/>
  <w15:chartTrackingRefBased/>
  <w15:docId w15:val="{9794B589-B4FA-44AD-B9B9-16F46326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B7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B7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B79A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B79A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B79A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B79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79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79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79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79A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B79A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B79A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B79A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B79A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B79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79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79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79A4"/>
    <w:rPr>
      <w:rFonts w:eastAsiaTheme="majorEastAsia" w:cstheme="majorBidi"/>
      <w:color w:val="272727" w:themeColor="text1" w:themeTint="D8"/>
    </w:rPr>
  </w:style>
  <w:style w:type="paragraph" w:styleId="Titre">
    <w:name w:val="Title"/>
    <w:basedOn w:val="Normal"/>
    <w:next w:val="Normal"/>
    <w:link w:val="TitreCar"/>
    <w:uiPriority w:val="10"/>
    <w:qFormat/>
    <w:rsid w:val="004B7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79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79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79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79A4"/>
    <w:pPr>
      <w:spacing w:before="160"/>
      <w:jc w:val="center"/>
    </w:pPr>
    <w:rPr>
      <w:i/>
      <w:iCs/>
      <w:color w:val="404040" w:themeColor="text1" w:themeTint="BF"/>
    </w:rPr>
  </w:style>
  <w:style w:type="character" w:customStyle="1" w:styleId="CitationCar">
    <w:name w:val="Citation Car"/>
    <w:basedOn w:val="Policepardfaut"/>
    <w:link w:val="Citation"/>
    <w:uiPriority w:val="29"/>
    <w:rsid w:val="004B79A4"/>
    <w:rPr>
      <w:i/>
      <w:iCs/>
      <w:color w:val="404040" w:themeColor="text1" w:themeTint="BF"/>
    </w:rPr>
  </w:style>
  <w:style w:type="paragraph" w:styleId="Paragraphedeliste">
    <w:name w:val="List Paragraph"/>
    <w:basedOn w:val="Normal"/>
    <w:uiPriority w:val="34"/>
    <w:qFormat/>
    <w:rsid w:val="004B79A4"/>
    <w:pPr>
      <w:ind w:left="720"/>
      <w:contextualSpacing/>
    </w:pPr>
  </w:style>
  <w:style w:type="character" w:styleId="Accentuationintense">
    <w:name w:val="Intense Emphasis"/>
    <w:basedOn w:val="Policepardfaut"/>
    <w:uiPriority w:val="21"/>
    <w:qFormat/>
    <w:rsid w:val="004B79A4"/>
    <w:rPr>
      <w:i/>
      <w:iCs/>
      <w:color w:val="2F5496" w:themeColor="accent1" w:themeShade="BF"/>
    </w:rPr>
  </w:style>
  <w:style w:type="paragraph" w:styleId="Citationintense">
    <w:name w:val="Intense Quote"/>
    <w:basedOn w:val="Normal"/>
    <w:next w:val="Normal"/>
    <w:link w:val="CitationintenseCar"/>
    <w:uiPriority w:val="30"/>
    <w:qFormat/>
    <w:rsid w:val="004B7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B79A4"/>
    <w:rPr>
      <w:i/>
      <w:iCs/>
      <w:color w:val="2F5496" w:themeColor="accent1" w:themeShade="BF"/>
    </w:rPr>
  </w:style>
  <w:style w:type="character" w:styleId="Rfrenceintense">
    <w:name w:val="Intense Reference"/>
    <w:basedOn w:val="Policepardfaut"/>
    <w:uiPriority w:val="32"/>
    <w:qFormat/>
    <w:rsid w:val="004B7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1067</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2025-07-14T08:23:00Z</dcterms:created>
  <dcterms:modified xsi:type="dcterms:W3CDTF">2025-07-14T08:27:00Z</dcterms:modified>
</cp:coreProperties>
</file>