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E12" w:rsidRDefault="00FE5E12" w:rsidP="00FE5E12">
      <w:pPr>
        <w:spacing w:after="313"/>
        <w:ind w:left="719" w:hanging="10"/>
        <w:jc w:val="left"/>
      </w:pPr>
      <w:r>
        <w:rPr>
          <w:rFonts w:ascii="Sakkal Majalla" w:eastAsia="Sakkal Majalla" w:hAnsi="Sakkal Majalla" w:cs="Sakkal Majalla"/>
          <w:b/>
          <w:bCs/>
          <w:sz w:val="32"/>
          <w:szCs w:val="32"/>
          <w:rtl/>
        </w:rPr>
        <w:t xml:space="preserve">ملخص:  </w:t>
      </w:r>
    </w:p>
    <w:p w:rsidR="00FE5E12" w:rsidRPr="00FE5E12" w:rsidRDefault="00FE5E12" w:rsidP="00FE5E12">
      <w:pPr>
        <w:spacing w:after="0" w:line="245" w:lineRule="auto"/>
        <w:ind w:left="2" w:right="658" w:hanging="2"/>
        <w:jc w:val="both"/>
        <w:rPr>
          <w:rFonts w:hint="cs"/>
          <w:rtl/>
          <w:lang w:bidi="ar-DZ"/>
        </w:rPr>
      </w:pPr>
      <w:r>
        <w:rPr>
          <w:rFonts w:ascii="Sakkal Majalla" w:eastAsia="Sakkal Majalla" w:hAnsi="Sakkal Majalla" w:cs="Sakkal Majalla"/>
          <w:sz w:val="32"/>
          <w:szCs w:val="32"/>
          <w:rtl/>
        </w:rPr>
        <w:t xml:space="preserve">     تهدف هذه الدراسة إلى تحليل أثر عدم تماثل متغيرات السياسة النقدية على معدل التضخم في</w:t>
      </w:r>
      <w:r>
        <w:rPr>
          <w:rFonts w:ascii="Sakkal Majalla" w:eastAsia="Sakkal Majalla" w:hAnsi="Sakkal Majalla" w:cs="Sakkal Majalla"/>
          <w:sz w:val="32"/>
          <w:szCs w:val="32"/>
        </w:rPr>
        <w:t xml:space="preserve"> </w:t>
      </w:r>
      <w:r>
        <w:rPr>
          <w:rFonts w:ascii="Sakkal Majalla" w:eastAsia="Sakkal Majalla" w:hAnsi="Sakkal Majalla" w:cs="Sakkal Majalla"/>
          <w:sz w:val="32"/>
          <w:szCs w:val="32"/>
          <w:rtl/>
        </w:rPr>
        <w:t xml:space="preserve">الجزائر خلال الفترة الممتدة من </w:t>
      </w:r>
      <w:r>
        <w:rPr>
          <w:rFonts w:ascii="Sakkal Majalla" w:eastAsia="Sakkal Majalla" w:hAnsi="Sakkal Majalla" w:cs="Sakkal Majalla"/>
          <w:sz w:val="32"/>
          <w:szCs w:val="32"/>
        </w:rPr>
        <w:t>1990</w:t>
      </w:r>
      <w:r>
        <w:rPr>
          <w:rFonts w:ascii="Sakkal Majalla" w:eastAsia="Sakkal Majalla" w:hAnsi="Sakkal Majalla" w:cs="Sakkal Majalla"/>
          <w:sz w:val="32"/>
          <w:szCs w:val="32"/>
          <w:rtl/>
        </w:rPr>
        <w:t xml:space="preserve"> إلى </w:t>
      </w:r>
      <w:r>
        <w:rPr>
          <w:rFonts w:ascii="Sakkal Majalla" w:eastAsia="Sakkal Majalla" w:hAnsi="Sakkal Majalla" w:cs="Sakkal Majalla"/>
          <w:sz w:val="32"/>
          <w:szCs w:val="32"/>
        </w:rPr>
        <w:t>2023</w:t>
      </w:r>
      <w:r>
        <w:rPr>
          <w:rFonts w:ascii="Sakkal Majalla" w:eastAsia="Sakkal Majalla" w:hAnsi="Sakkal Majalla" w:cs="Sakkal Majalla"/>
          <w:sz w:val="32"/>
          <w:szCs w:val="32"/>
          <w:rtl/>
        </w:rPr>
        <w:t xml:space="preserve">، وذلك باستخدام نموذج الانحدار الذاتي للإبطاء </w:t>
      </w:r>
      <w:r>
        <w:rPr>
          <w:rFonts w:ascii="Sakkal Majalla" w:eastAsia="Sakkal Majalla" w:hAnsi="Sakkal Majalla" w:cs="Sakkal Majalla" w:hint="cs"/>
          <w:sz w:val="32"/>
          <w:szCs w:val="32"/>
          <w:rtl/>
        </w:rPr>
        <w:t>غير</w:t>
      </w:r>
      <w:r>
        <w:rPr>
          <w:rFonts w:ascii="Sakkal Majalla" w:eastAsia="Sakkal Majalla" w:hAnsi="Sakkal Majalla" w:cs="Sakkal Majalla"/>
          <w:sz w:val="32"/>
          <w:szCs w:val="32"/>
        </w:rPr>
        <w:t xml:space="preserve"> </w:t>
      </w:r>
      <w:r>
        <w:rPr>
          <w:rFonts w:ascii="Sakkal Majalla" w:eastAsia="Sakkal Majalla" w:hAnsi="Sakkal Majalla" w:cs="Sakkal Majalla" w:hint="cs"/>
          <w:sz w:val="32"/>
          <w:szCs w:val="32"/>
          <w:rtl/>
          <w:lang w:bidi="ar-DZ"/>
        </w:rPr>
        <w:t>الخطي (</w:t>
      </w:r>
      <w:r w:rsidRPr="00FE5E12">
        <w:rPr>
          <w:rFonts w:asciiTheme="majorBidi" w:eastAsia="Sakkal Majalla" w:hAnsiTheme="majorBidi" w:cstheme="majorBidi"/>
          <w:sz w:val="28"/>
          <w:szCs w:val="28"/>
          <w:lang w:bidi="ar-DZ"/>
        </w:rPr>
        <w:t>NARDL</w:t>
      </w:r>
      <w:r>
        <w:rPr>
          <w:rFonts w:ascii="Sakkal Majalla" w:eastAsia="Sakkal Majalla" w:hAnsi="Sakkal Majalla" w:cs="Sakkal Majalla" w:hint="cs"/>
          <w:sz w:val="32"/>
          <w:szCs w:val="32"/>
          <w:rtl/>
          <w:lang w:bidi="ar-DZ"/>
        </w:rPr>
        <w:t>).</w:t>
      </w:r>
    </w:p>
    <w:p w:rsidR="00FE5E12" w:rsidRDefault="00FE5E12" w:rsidP="00FE5E12">
      <w:pPr>
        <w:spacing w:after="284" w:line="241" w:lineRule="auto"/>
        <w:ind w:left="-3" w:right="394" w:hanging="12"/>
        <w:jc w:val="both"/>
      </w:pPr>
      <w:r>
        <w:rPr>
          <w:rFonts w:ascii="Sakkal Majalla" w:eastAsia="Sakkal Majalla" w:hAnsi="Sakkal Majalla" w:cs="Sakkal Majalla"/>
          <w:color w:val="222222"/>
          <w:sz w:val="32"/>
          <w:szCs w:val="32"/>
          <w:rtl/>
        </w:rPr>
        <w:t xml:space="preserve">    تم اعتماد المنهج الوصفي من خلال استعراض الأدبيات النظرية المرتبطة بالسياسة النقدية ومحددات</w:t>
      </w:r>
      <w:r>
        <w:rPr>
          <w:rFonts w:ascii="Sakkal Majalla" w:eastAsia="Sakkal Majalla" w:hAnsi="Sakkal Majalla" w:cs="Sakkal Majalla" w:hint="cs"/>
          <w:color w:val="222222"/>
          <w:sz w:val="32"/>
          <w:szCs w:val="32"/>
          <w:rtl/>
        </w:rPr>
        <w:t xml:space="preserve"> </w:t>
      </w:r>
      <w:r>
        <w:rPr>
          <w:rFonts w:ascii="Sakkal Majalla" w:eastAsia="Sakkal Majalla" w:hAnsi="Sakkal Majalla" w:cs="Sakkal Majalla"/>
          <w:color w:val="222222"/>
          <w:sz w:val="32"/>
          <w:szCs w:val="32"/>
          <w:rtl/>
        </w:rPr>
        <w:t>التضخم، إضافة إلى المفاهيم المتعلقة بعدم التماثل والنماذج غير الخطية. كما تم توظيف المنهج</w:t>
      </w:r>
      <w:r>
        <w:rPr>
          <w:rFonts w:ascii="Sakkal Majalla" w:eastAsia="Sakkal Majalla" w:hAnsi="Sakkal Majalla" w:cs="Sakkal Majalla" w:hint="cs"/>
          <w:color w:val="222222"/>
          <w:sz w:val="32"/>
          <w:szCs w:val="32"/>
          <w:rtl/>
        </w:rPr>
        <w:t xml:space="preserve"> </w:t>
      </w:r>
      <w:r>
        <w:rPr>
          <w:rFonts w:ascii="Sakkal Majalla" w:eastAsia="Sakkal Majalla" w:hAnsi="Sakkal Majalla" w:cs="Sakkal Majalla"/>
          <w:color w:val="222222"/>
          <w:sz w:val="32"/>
          <w:szCs w:val="32"/>
          <w:rtl/>
        </w:rPr>
        <w:t xml:space="preserve">التحليلي لتتبع تطور المتغيرات الاقتصادية محل الدراسة خلال الفترة الزمنية المحددة. </w:t>
      </w:r>
    </w:p>
    <w:p w:rsidR="00FE5E12" w:rsidRDefault="00FE5E12" w:rsidP="00FE5E12">
      <w:pPr>
        <w:spacing w:after="263" w:line="250" w:lineRule="auto"/>
        <w:ind w:left="2" w:right="750" w:hanging="1"/>
        <w:jc w:val="both"/>
      </w:pPr>
      <w:r>
        <w:rPr>
          <w:rFonts w:ascii="Sakkal Majalla" w:eastAsia="Sakkal Majalla" w:hAnsi="Sakkal Majalla" w:cs="Sakkal Majalla"/>
          <w:color w:val="222222"/>
          <w:sz w:val="32"/>
          <w:szCs w:val="32"/>
          <w:rtl/>
        </w:rPr>
        <w:t xml:space="preserve">   أما في الجانب التطبيقي، فقد تم الاعتماد على المنهج التجريبي، حيث تم اختبار خصائص السلاسل</w:t>
      </w:r>
      <w:r>
        <w:rPr>
          <w:rFonts w:ascii="Sakkal Majalla" w:eastAsia="Sakkal Majalla" w:hAnsi="Sakkal Majalla" w:cs="Sakkal Majalla" w:hint="cs"/>
          <w:color w:val="222222"/>
          <w:sz w:val="32"/>
          <w:szCs w:val="32"/>
          <w:rtl/>
        </w:rPr>
        <w:t xml:space="preserve"> </w:t>
      </w:r>
      <w:r>
        <w:rPr>
          <w:rFonts w:ascii="Sakkal Majalla" w:eastAsia="Sakkal Majalla" w:hAnsi="Sakkal Majalla" w:cs="Sakkal Majalla"/>
          <w:color w:val="222222"/>
          <w:sz w:val="32"/>
          <w:szCs w:val="32"/>
          <w:rtl/>
        </w:rPr>
        <w:t>الزمنية باستخدام اختبارّ</w:t>
      </w:r>
      <w:r>
        <w:rPr>
          <w:rFonts w:ascii="Sakkal Majalla" w:eastAsia="Sakkal Majalla" w:hAnsi="Sakkal Majalla" w:cs="Sakkal Majalla"/>
          <w:color w:val="222222"/>
          <w:sz w:val="32"/>
        </w:rPr>
        <w:t xml:space="preserve">ADF </w:t>
      </w:r>
      <w:r>
        <w:rPr>
          <w:rFonts w:ascii="Sakkal Majalla" w:eastAsia="Sakkal Majalla" w:hAnsi="Sakkal Majalla" w:cs="Sakkal Majalla" w:hint="cs"/>
          <w:color w:val="222222"/>
          <w:sz w:val="32"/>
          <w:szCs w:val="32"/>
          <w:rtl/>
        </w:rPr>
        <w:t>ولتحديد مستوى</w:t>
      </w:r>
      <w:r>
        <w:rPr>
          <w:rFonts w:ascii="Sakkal Majalla" w:eastAsia="Sakkal Majalla" w:hAnsi="Sakkal Majalla" w:cs="Sakkal Majalla"/>
          <w:color w:val="222222"/>
          <w:sz w:val="32"/>
          <w:szCs w:val="32"/>
          <w:rtl/>
        </w:rPr>
        <w:t xml:space="preserve"> الاستقرارية، ثم تقدير نموذج </w:t>
      </w:r>
      <w:r>
        <w:rPr>
          <w:rFonts w:ascii="Sakkal Majalla" w:eastAsia="Sakkal Majalla" w:hAnsi="Sakkal Majalla" w:cs="Sakkal Majalla"/>
          <w:color w:val="222222"/>
          <w:sz w:val="32"/>
        </w:rPr>
        <w:t>NARDL</w:t>
      </w:r>
      <w:r>
        <w:rPr>
          <w:rFonts w:ascii="Sakkal Majalla" w:eastAsia="Sakkal Majalla" w:hAnsi="Sakkal Majalla" w:cs="Sakkal Majalla"/>
          <w:color w:val="222222"/>
          <w:sz w:val="32"/>
          <w:szCs w:val="32"/>
          <w:rtl/>
        </w:rPr>
        <w:t xml:space="preserve"> لاستخراج</w:t>
      </w:r>
      <w:r>
        <w:rPr>
          <w:rFonts w:ascii="Sakkal Majalla" w:eastAsia="Sakkal Majalla" w:hAnsi="Sakkal Majalla" w:cs="Sakkal Majalla" w:hint="cs"/>
          <w:color w:val="222222"/>
          <w:sz w:val="32"/>
          <w:szCs w:val="32"/>
          <w:rtl/>
        </w:rPr>
        <w:t xml:space="preserve"> </w:t>
      </w:r>
      <w:r>
        <w:rPr>
          <w:rFonts w:ascii="Sakkal Majalla" w:eastAsia="Sakkal Majalla" w:hAnsi="Sakkal Majalla" w:cs="Sakkal Majalla"/>
          <w:color w:val="222222"/>
          <w:sz w:val="32"/>
          <w:szCs w:val="32"/>
          <w:rtl/>
        </w:rPr>
        <w:t>العلاقات في الأجلين القصير والطويل، مع تحليل ديناميكية الاستجابة باستخدام مضاعف التأثير</w:t>
      </w:r>
      <w:r>
        <w:rPr>
          <w:rFonts w:ascii="Sakkal Majalla" w:eastAsia="Sakkal Majalla" w:hAnsi="Sakkal Majalla" w:cs="Sakkal Majalla" w:hint="cs"/>
          <w:color w:val="222222"/>
          <w:sz w:val="32"/>
          <w:szCs w:val="32"/>
          <w:rtl/>
        </w:rPr>
        <w:t xml:space="preserve"> التراكمي.</w:t>
      </w:r>
      <w:r>
        <w:rPr>
          <w:rFonts w:ascii="Sakkal Majalla" w:eastAsia="Sakkal Majalla" w:hAnsi="Sakkal Majalla" w:cs="Sakkal Majalla"/>
          <w:color w:val="222222"/>
          <w:sz w:val="32"/>
          <w:szCs w:val="32"/>
          <w:rtl/>
        </w:rPr>
        <w:t xml:space="preserve"> </w:t>
      </w:r>
    </w:p>
    <w:p w:rsidR="00FE5E12" w:rsidRDefault="00FE5E12" w:rsidP="00FE5E12">
      <w:pPr>
        <w:spacing w:after="284" w:line="241" w:lineRule="auto"/>
        <w:ind w:left="-3" w:right="498" w:hanging="12"/>
      </w:pPr>
      <w:r>
        <w:rPr>
          <w:rFonts w:ascii="Sakkal Majalla" w:eastAsia="Sakkal Majalla" w:hAnsi="Sakkal Majalla" w:cs="Sakkal Majalla"/>
          <w:color w:val="222222"/>
          <w:sz w:val="32"/>
          <w:szCs w:val="32"/>
          <w:rtl/>
        </w:rPr>
        <w:t xml:space="preserve">   أظهرت النتائج وجود علاقات طويلة الأجل بين بعض متغيرات السياسة النقدية ومعدل التضخم، كما</w:t>
      </w:r>
      <w:r>
        <w:rPr>
          <w:rFonts w:ascii="Sakkal Majalla" w:eastAsia="Sakkal Majalla" w:hAnsi="Sakkal Majalla" w:cs="Sakkal Majalla" w:hint="cs"/>
          <w:color w:val="222222"/>
          <w:sz w:val="32"/>
          <w:szCs w:val="32"/>
          <w:rtl/>
        </w:rPr>
        <w:t xml:space="preserve"> </w:t>
      </w:r>
      <w:r>
        <w:rPr>
          <w:rFonts w:ascii="Sakkal Majalla" w:eastAsia="Sakkal Majalla" w:hAnsi="Sakkal Majalla" w:cs="Sakkal Majalla"/>
          <w:color w:val="222222"/>
          <w:sz w:val="32"/>
          <w:szCs w:val="32"/>
          <w:rtl/>
        </w:rPr>
        <w:t>كشفت عن تأثيرات غير متماثلة، خاصة فيما يتعلق بسعر الصرف والكتلة النقدية، مما يؤكد أهمية</w:t>
      </w:r>
      <w:r>
        <w:rPr>
          <w:rFonts w:ascii="Sakkal Majalla" w:eastAsia="Sakkal Majalla" w:hAnsi="Sakkal Majalla" w:cs="Sakkal Majalla" w:hint="cs"/>
          <w:color w:val="222222"/>
          <w:sz w:val="32"/>
          <w:szCs w:val="32"/>
          <w:rtl/>
        </w:rPr>
        <w:t xml:space="preserve"> </w:t>
      </w:r>
      <w:r>
        <w:rPr>
          <w:rFonts w:ascii="Sakkal Majalla" w:eastAsia="Sakkal Majalla" w:hAnsi="Sakkal Majalla" w:cs="Sakkal Majalla"/>
          <w:color w:val="222222"/>
          <w:sz w:val="32"/>
          <w:szCs w:val="32"/>
          <w:rtl/>
        </w:rPr>
        <w:t xml:space="preserve">اعتماد نماذج غير خطية في تحليل السياسة النقدية وتوجيهها نحو تحقيق استقرار الأسعار. </w:t>
      </w:r>
    </w:p>
    <w:p w:rsidR="00FE5E12" w:rsidRDefault="00FE5E12" w:rsidP="00FE5E12">
      <w:pPr>
        <w:spacing w:after="243"/>
        <w:ind w:left="3" w:right="208" w:hanging="10"/>
        <w:jc w:val="left"/>
      </w:pPr>
      <w:r>
        <w:rPr>
          <w:rFonts w:ascii="Sakkal Majalla" w:eastAsia="Sakkal Majalla" w:hAnsi="Sakkal Majalla" w:cs="Sakkal Majalla"/>
          <w:b/>
          <w:bCs/>
          <w:color w:val="222222"/>
          <w:sz w:val="32"/>
          <w:szCs w:val="32"/>
          <w:rtl/>
        </w:rPr>
        <w:t xml:space="preserve">الكلمات المفتاحية: </w:t>
      </w:r>
      <w:r>
        <w:rPr>
          <w:rFonts w:ascii="Sakkal Majalla" w:eastAsia="Sakkal Majalla" w:hAnsi="Sakkal Majalla" w:cs="Sakkal Majalla"/>
          <w:color w:val="222222"/>
          <w:sz w:val="32"/>
          <w:szCs w:val="32"/>
          <w:rtl/>
        </w:rPr>
        <w:t xml:space="preserve">السياسة النقدية، التضخم، عدم التماثل، نموذج </w:t>
      </w:r>
      <w:r>
        <w:rPr>
          <w:rFonts w:ascii="Sakkal Majalla" w:eastAsia="Sakkal Majalla" w:hAnsi="Sakkal Majalla" w:cs="Sakkal Majalla"/>
          <w:color w:val="222222"/>
          <w:sz w:val="32"/>
        </w:rPr>
        <w:t>NARDL</w:t>
      </w:r>
      <w:r>
        <w:rPr>
          <w:rFonts w:ascii="Sakkal Majalla" w:eastAsia="Sakkal Majalla" w:hAnsi="Sakkal Majalla" w:cs="Sakkal Majalla"/>
          <w:color w:val="222222"/>
          <w:sz w:val="32"/>
          <w:szCs w:val="32"/>
          <w:rtl/>
        </w:rPr>
        <w:t>، الجزائر.</w:t>
      </w:r>
      <w:r>
        <w:rPr>
          <w:rFonts w:ascii="Sakkal Majalla" w:eastAsia="Sakkal Majalla" w:hAnsi="Sakkal Majalla" w:cs="Sakkal Majalla"/>
          <w:b/>
          <w:bCs/>
          <w:color w:val="222222"/>
          <w:sz w:val="32"/>
          <w:szCs w:val="32"/>
          <w:rtl/>
        </w:rPr>
        <w:t xml:space="preserve"> </w:t>
      </w:r>
    </w:p>
    <w:p w:rsidR="00FE5E12" w:rsidRDefault="00FE5E12" w:rsidP="00FE5E12">
      <w:pPr>
        <w:bidi w:val="0"/>
        <w:spacing w:after="245"/>
        <w:ind w:right="3"/>
      </w:pPr>
      <w:r>
        <w:rPr>
          <w:rFonts w:ascii="Sakkal Majalla" w:eastAsia="Sakkal Majalla" w:hAnsi="Sakkal Majalla" w:cs="Sakkal Majalla"/>
          <w:color w:val="222222"/>
          <w:sz w:val="32"/>
        </w:rPr>
        <w:t xml:space="preserve"> </w:t>
      </w:r>
    </w:p>
    <w:p w:rsidR="00FE5E12" w:rsidRDefault="00FE5E12" w:rsidP="00FE5E12">
      <w:pPr>
        <w:bidi w:val="0"/>
        <w:spacing w:after="245"/>
        <w:ind w:right="3"/>
      </w:pPr>
      <w:r>
        <w:rPr>
          <w:rFonts w:ascii="Sakkal Majalla" w:eastAsia="Sakkal Majalla" w:hAnsi="Sakkal Majalla" w:cs="Sakkal Majalla"/>
          <w:color w:val="222222"/>
          <w:sz w:val="32"/>
        </w:rPr>
        <w:t xml:space="preserve"> </w:t>
      </w:r>
    </w:p>
    <w:p w:rsidR="00FE5E12" w:rsidRDefault="00FE5E12" w:rsidP="00FE5E12">
      <w:pPr>
        <w:bidi w:val="0"/>
        <w:spacing w:after="245"/>
        <w:ind w:right="3"/>
      </w:pPr>
      <w:r>
        <w:rPr>
          <w:rFonts w:ascii="Sakkal Majalla" w:eastAsia="Sakkal Majalla" w:hAnsi="Sakkal Majalla" w:cs="Sakkal Majalla"/>
          <w:color w:val="222222"/>
          <w:sz w:val="32"/>
        </w:rPr>
        <w:t xml:space="preserve"> </w:t>
      </w:r>
    </w:p>
    <w:p w:rsidR="00FE5E12" w:rsidRDefault="00FE5E12" w:rsidP="00FE5E12">
      <w:pPr>
        <w:bidi w:val="0"/>
        <w:spacing w:after="246"/>
        <w:ind w:right="3"/>
      </w:pPr>
      <w:r>
        <w:rPr>
          <w:rFonts w:ascii="Sakkal Majalla" w:eastAsia="Sakkal Majalla" w:hAnsi="Sakkal Majalla" w:cs="Sakkal Majalla"/>
          <w:color w:val="222222"/>
          <w:sz w:val="32"/>
        </w:rPr>
        <w:t xml:space="preserve"> </w:t>
      </w:r>
    </w:p>
    <w:p w:rsidR="00FE5E12" w:rsidRDefault="00FE5E12" w:rsidP="00FE5E12">
      <w:pPr>
        <w:bidi w:val="0"/>
        <w:spacing w:after="245"/>
        <w:ind w:right="3"/>
      </w:pPr>
      <w:r>
        <w:rPr>
          <w:rFonts w:ascii="Sakkal Majalla" w:eastAsia="Sakkal Majalla" w:hAnsi="Sakkal Majalla" w:cs="Sakkal Majalla"/>
          <w:color w:val="222222"/>
          <w:sz w:val="32"/>
        </w:rPr>
        <w:t xml:space="preserve"> </w:t>
      </w:r>
    </w:p>
    <w:p w:rsidR="00FE5E12" w:rsidRDefault="00FE5E12" w:rsidP="00FE5E12">
      <w:pPr>
        <w:bidi w:val="0"/>
        <w:spacing w:after="245"/>
        <w:ind w:right="3"/>
      </w:pPr>
      <w:r>
        <w:rPr>
          <w:rFonts w:ascii="Sakkal Majalla" w:eastAsia="Sakkal Majalla" w:hAnsi="Sakkal Majalla" w:cs="Sakkal Majalla"/>
          <w:color w:val="222222"/>
          <w:sz w:val="32"/>
        </w:rPr>
        <w:t xml:space="preserve"> </w:t>
      </w:r>
    </w:p>
    <w:p w:rsidR="00FE5E12" w:rsidRDefault="00FE5E12" w:rsidP="00FE5E12">
      <w:pPr>
        <w:bidi w:val="0"/>
        <w:spacing w:after="243"/>
        <w:ind w:right="3"/>
      </w:pPr>
      <w:r>
        <w:rPr>
          <w:rFonts w:ascii="Sakkal Majalla" w:eastAsia="Sakkal Majalla" w:hAnsi="Sakkal Majalla" w:cs="Sakkal Majalla"/>
          <w:color w:val="222222"/>
          <w:sz w:val="32"/>
        </w:rPr>
        <w:t xml:space="preserve"> </w:t>
      </w:r>
    </w:p>
    <w:p w:rsidR="00FE5E12" w:rsidRDefault="00FE5E12" w:rsidP="00FE5E12">
      <w:pPr>
        <w:bidi w:val="0"/>
        <w:spacing w:after="0"/>
        <w:ind w:right="3"/>
        <w:rPr>
          <w:rFonts w:ascii="Sakkal Majalla" w:eastAsia="Sakkal Majalla" w:hAnsi="Sakkal Majalla" w:cs="Sakkal Majalla"/>
          <w:color w:val="222222"/>
          <w:sz w:val="32"/>
          <w:rtl/>
        </w:rPr>
      </w:pPr>
    </w:p>
    <w:p w:rsidR="00FE5E12" w:rsidRDefault="00FE5E12" w:rsidP="00FE5E12">
      <w:pPr>
        <w:bidi w:val="0"/>
        <w:spacing w:after="0"/>
        <w:ind w:right="3"/>
        <w:rPr>
          <w:rFonts w:ascii="Sakkal Majalla" w:eastAsia="Sakkal Majalla" w:hAnsi="Sakkal Majalla" w:cs="Sakkal Majalla"/>
          <w:color w:val="222222"/>
          <w:sz w:val="32"/>
          <w:rtl/>
        </w:rPr>
      </w:pPr>
    </w:p>
    <w:p w:rsidR="00FE5E12" w:rsidRDefault="00FE5E12" w:rsidP="00FE5E12">
      <w:pPr>
        <w:bidi w:val="0"/>
        <w:spacing w:after="0"/>
        <w:ind w:right="3"/>
        <w:rPr>
          <w:rFonts w:ascii="Sakkal Majalla" w:eastAsia="Sakkal Majalla" w:hAnsi="Sakkal Majalla" w:cs="Sakkal Majalla"/>
          <w:color w:val="222222"/>
          <w:sz w:val="32"/>
          <w:rtl/>
        </w:rPr>
      </w:pPr>
    </w:p>
    <w:p w:rsidR="00FE5E12" w:rsidRDefault="00FE5E12" w:rsidP="00FE5E12">
      <w:pPr>
        <w:bidi w:val="0"/>
        <w:spacing w:after="0"/>
        <w:ind w:right="3"/>
        <w:rPr>
          <w:rFonts w:ascii="Sakkal Majalla" w:eastAsia="Sakkal Majalla" w:hAnsi="Sakkal Majalla" w:cs="Sakkal Majalla"/>
          <w:color w:val="222222"/>
          <w:sz w:val="32"/>
          <w:rtl/>
        </w:rPr>
      </w:pPr>
    </w:p>
    <w:p w:rsidR="00FE5E12" w:rsidRDefault="00FE5E12" w:rsidP="00FE5E12">
      <w:pPr>
        <w:bidi w:val="0"/>
        <w:spacing w:after="0"/>
        <w:ind w:right="3"/>
        <w:rPr>
          <w:rFonts w:ascii="Sakkal Majalla" w:eastAsia="Sakkal Majalla" w:hAnsi="Sakkal Majalla" w:cs="Sakkal Majalla"/>
          <w:color w:val="222222"/>
          <w:sz w:val="32"/>
          <w:rtl/>
        </w:rPr>
      </w:pPr>
    </w:p>
    <w:p w:rsidR="00FE5E12" w:rsidRDefault="00FE5E12" w:rsidP="00FE5E12">
      <w:pPr>
        <w:bidi w:val="0"/>
        <w:spacing w:after="0"/>
        <w:ind w:right="3"/>
      </w:pPr>
      <w:bookmarkStart w:id="0" w:name="_GoBack"/>
      <w:bookmarkEnd w:id="0"/>
      <w:r>
        <w:rPr>
          <w:rFonts w:ascii="Sakkal Majalla" w:eastAsia="Sakkal Majalla" w:hAnsi="Sakkal Majalla" w:cs="Sakkal Majalla"/>
          <w:color w:val="222222"/>
          <w:sz w:val="32"/>
        </w:rPr>
        <w:t xml:space="preserve"> </w:t>
      </w:r>
    </w:p>
    <w:p w:rsidR="00FE5E12" w:rsidRDefault="00FE5E12" w:rsidP="00FE5E12">
      <w:pPr>
        <w:bidi w:val="0"/>
        <w:spacing w:after="266" w:line="248" w:lineRule="auto"/>
        <w:ind w:left="319" w:hanging="10"/>
        <w:jc w:val="left"/>
        <w:rPr>
          <w:rFonts w:ascii="Times New Roman" w:eastAsia="Times New Roman" w:hAnsi="Times New Roman" w:cs="Times New Roman"/>
          <w:color w:val="222222"/>
          <w:sz w:val="28"/>
          <w:rtl/>
          <w:lang w:val="en-AU"/>
        </w:rPr>
      </w:pPr>
      <w:r w:rsidRPr="00630C1E">
        <w:rPr>
          <w:rFonts w:ascii="Times New Roman" w:eastAsia="Times New Roman" w:hAnsi="Times New Roman" w:cs="Times New Roman"/>
          <w:color w:val="222222"/>
          <w:sz w:val="28"/>
          <w:lang w:val="en-AU"/>
        </w:rPr>
        <w:lastRenderedPageBreak/>
        <w:t xml:space="preserve">Abstract: </w:t>
      </w:r>
    </w:p>
    <w:p w:rsidR="00FE5E12" w:rsidRPr="00630C1E" w:rsidRDefault="00FE5E12" w:rsidP="00FE5E12">
      <w:pPr>
        <w:bidi w:val="0"/>
        <w:spacing w:after="266" w:line="248" w:lineRule="auto"/>
        <w:ind w:left="319" w:hanging="10"/>
        <w:jc w:val="left"/>
        <w:rPr>
          <w:lang w:val="en-AU"/>
        </w:rPr>
      </w:pPr>
    </w:p>
    <w:p w:rsidR="00FE5E12" w:rsidRPr="00630C1E" w:rsidRDefault="00FE5E12" w:rsidP="00FE5E12">
      <w:pPr>
        <w:bidi w:val="0"/>
        <w:spacing w:after="266" w:line="248" w:lineRule="auto"/>
        <w:ind w:left="319" w:hanging="10"/>
        <w:jc w:val="left"/>
        <w:rPr>
          <w:lang w:val="en-AU"/>
        </w:rPr>
      </w:pPr>
      <w:r w:rsidRPr="00630C1E">
        <w:rPr>
          <w:rFonts w:ascii="Times New Roman" w:eastAsia="Times New Roman" w:hAnsi="Times New Roman" w:cs="Times New Roman"/>
          <w:color w:val="222222"/>
          <w:sz w:val="28"/>
          <w:lang w:val="en-AU"/>
        </w:rPr>
        <w:t xml:space="preserve">This study aims to analyze the asymmetric impact of monetary policy variables on the inflation rate in Algeria during the period from 1990 to 2023, using the Nonlinear Autoregressive Distributed Lag (NARDL) model. </w:t>
      </w:r>
    </w:p>
    <w:p w:rsidR="00FE5E12" w:rsidRPr="00630C1E" w:rsidRDefault="00FE5E12" w:rsidP="00FE5E12">
      <w:pPr>
        <w:bidi w:val="0"/>
        <w:spacing w:after="266" w:line="248" w:lineRule="auto"/>
        <w:ind w:left="319" w:hanging="10"/>
        <w:jc w:val="left"/>
        <w:rPr>
          <w:lang w:val="en-AU"/>
        </w:rPr>
      </w:pPr>
      <w:r w:rsidRPr="00630C1E">
        <w:rPr>
          <w:rFonts w:ascii="Times New Roman" w:eastAsia="Times New Roman" w:hAnsi="Times New Roman" w:cs="Times New Roman"/>
          <w:color w:val="222222"/>
          <w:sz w:val="28"/>
          <w:lang w:val="en-AU"/>
        </w:rPr>
        <w:t xml:space="preserve">The descriptive approach was employed to review the theoretical literature related to monetary policy, inflation determinants, asymmetry concepts, and nonlinear models. The analytical approach was also adopted to track the historical development of the selected economic variables during the study period. </w:t>
      </w:r>
    </w:p>
    <w:p w:rsidR="00FE5E12" w:rsidRPr="00630C1E" w:rsidRDefault="00FE5E12" w:rsidP="00FE5E12">
      <w:pPr>
        <w:bidi w:val="0"/>
        <w:spacing w:after="266" w:line="248" w:lineRule="auto"/>
        <w:ind w:left="319" w:hanging="10"/>
        <w:jc w:val="left"/>
        <w:rPr>
          <w:lang w:val="en-AU"/>
        </w:rPr>
      </w:pPr>
      <w:r w:rsidRPr="00630C1E">
        <w:rPr>
          <w:rFonts w:ascii="Times New Roman" w:eastAsia="Times New Roman" w:hAnsi="Times New Roman" w:cs="Times New Roman"/>
          <w:color w:val="222222"/>
          <w:sz w:val="28"/>
          <w:lang w:val="en-AU"/>
        </w:rPr>
        <w:t xml:space="preserve">On the empirical side, the experimental method was used by conducting stationarity tests (ADF ) to determine the integration order of the time series. The NARDL model was then estimated to extract both short-run and long-run relationships, and the dynamic response was analyzed using cumulative dynamic multipliers. </w:t>
      </w:r>
    </w:p>
    <w:p w:rsidR="00FE5E12" w:rsidRPr="00630C1E" w:rsidRDefault="00FE5E12" w:rsidP="00FE5E12">
      <w:pPr>
        <w:bidi w:val="0"/>
        <w:spacing w:after="266" w:line="248" w:lineRule="auto"/>
        <w:ind w:left="319" w:hanging="10"/>
        <w:jc w:val="left"/>
        <w:rPr>
          <w:lang w:val="en-AU"/>
        </w:rPr>
      </w:pPr>
      <w:r w:rsidRPr="00630C1E">
        <w:rPr>
          <w:rFonts w:ascii="Times New Roman" w:eastAsia="Times New Roman" w:hAnsi="Times New Roman" w:cs="Times New Roman"/>
          <w:color w:val="222222"/>
          <w:sz w:val="28"/>
          <w:lang w:val="en-AU"/>
        </w:rPr>
        <w:t xml:space="preserve">The results revealed long-run relationships between some monetary policy variables and inflation, along with significant asymmetric effects particularly in the exchange rate and money supply highlighting the importance of incorporating nonlinear modeling in the design and implementation of effective monetary policy aimed at price stability. </w:t>
      </w:r>
    </w:p>
    <w:p w:rsidR="00FE5E12" w:rsidRPr="00630C1E" w:rsidRDefault="00FE5E12" w:rsidP="00FE5E12">
      <w:pPr>
        <w:bidi w:val="0"/>
        <w:spacing w:after="266" w:line="248" w:lineRule="auto"/>
        <w:ind w:left="207" w:hanging="10"/>
        <w:jc w:val="left"/>
        <w:rPr>
          <w:lang w:val="en-AU"/>
        </w:rPr>
      </w:pPr>
      <w:r w:rsidRPr="00630C1E">
        <w:rPr>
          <w:rFonts w:ascii="Times New Roman" w:eastAsia="Times New Roman" w:hAnsi="Times New Roman" w:cs="Times New Roman"/>
          <w:color w:val="222222"/>
          <w:sz w:val="28"/>
          <w:lang w:val="en-AU"/>
        </w:rPr>
        <w:t xml:space="preserve"> </w:t>
      </w:r>
      <w:r w:rsidRPr="00630C1E">
        <w:rPr>
          <w:rFonts w:ascii="Times New Roman" w:eastAsia="Times New Roman" w:hAnsi="Times New Roman" w:cs="Times New Roman"/>
          <w:color w:val="222222"/>
          <w:sz w:val="28"/>
          <w:lang w:val="en-AU"/>
        </w:rPr>
        <w:t>Keywords: Monetary</w:t>
      </w:r>
      <w:r w:rsidRPr="00630C1E">
        <w:rPr>
          <w:rFonts w:ascii="Times New Roman" w:eastAsia="Times New Roman" w:hAnsi="Times New Roman" w:cs="Times New Roman"/>
          <w:color w:val="222222"/>
          <w:sz w:val="28"/>
          <w:lang w:val="en-AU"/>
        </w:rPr>
        <w:t xml:space="preserve"> </w:t>
      </w:r>
      <w:r w:rsidRPr="00630C1E">
        <w:rPr>
          <w:rFonts w:ascii="Times New Roman" w:eastAsia="Times New Roman" w:hAnsi="Times New Roman" w:cs="Times New Roman"/>
          <w:color w:val="222222"/>
          <w:sz w:val="28"/>
          <w:lang w:val="en-AU"/>
        </w:rPr>
        <w:t>policy, Inflation</w:t>
      </w:r>
      <w:r w:rsidRPr="00630C1E">
        <w:rPr>
          <w:rFonts w:ascii="Times New Roman" w:eastAsia="Times New Roman" w:hAnsi="Times New Roman" w:cs="Times New Roman"/>
          <w:color w:val="222222"/>
          <w:sz w:val="28"/>
          <w:lang w:val="en-AU"/>
        </w:rPr>
        <w:t>, asymmetry, NARDL model, Algeria</w:t>
      </w:r>
    </w:p>
    <w:p w:rsidR="00C1353D" w:rsidRPr="00FE5E12" w:rsidRDefault="00C1353D">
      <w:pPr>
        <w:rPr>
          <w:lang w:val="en-AU"/>
        </w:rPr>
      </w:pPr>
    </w:p>
    <w:sectPr w:rsidR="00C1353D" w:rsidRPr="00FE5E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E12"/>
    <w:rsid w:val="00C1353D"/>
    <w:rsid w:val="00FE5E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B4AE"/>
  <w15:chartTrackingRefBased/>
  <w15:docId w15:val="{35912F73-7038-492E-9016-D423BE74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E12"/>
    <w:pPr>
      <w:bidi/>
      <w:jc w:val="right"/>
    </w:pPr>
    <w:rPr>
      <w:rFonts w:ascii="Calibri" w:eastAsia="Calibri" w:hAnsi="Calibri" w:cs="Calibri"/>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2015</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2025-07-13T11:07:00Z</dcterms:created>
  <dcterms:modified xsi:type="dcterms:W3CDTF">2025-07-13T11:10:00Z</dcterms:modified>
</cp:coreProperties>
</file>