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CFB" w:rsidRPr="008872EC" w:rsidRDefault="00955CFB" w:rsidP="00955CFB">
      <w:pPr>
        <w:bidi/>
        <w:spacing w:after="0" w:line="276" w:lineRule="auto"/>
        <w:jc w:val="both"/>
        <w:rPr>
          <w:rFonts w:ascii="Sakkal Majalla" w:hAnsi="Sakkal Majalla" w:cs="Sakkal Majalla"/>
          <w:b/>
          <w:bCs/>
          <w:color w:val="244061" w:themeColor="accent1" w:themeShade="80"/>
          <w:sz w:val="32"/>
          <w:szCs w:val="32"/>
          <w:lang w:val="en-ZA" w:bidi="ar-DZ"/>
        </w:rPr>
      </w:pPr>
      <w:r w:rsidRPr="008872EC">
        <w:rPr>
          <w:rFonts w:ascii="Sakkal Majalla" w:hAnsi="Sakkal Majalla" w:cs="Sakkal Majalla"/>
          <w:b/>
          <w:bCs/>
          <w:color w:val="244061" w:themeColor="accent1" w:themeShade="80"/>
          <w:sz w:val="32"/>
          <w:szCs w:val="32"/>
          <w:rtl/>
          <w:lang w:val="en-ZA" w:bidi="ar-DZ"/>
        </w:rPr>
        <w:t>الملخص</w:t>
      </w:r>
    </w:p>
    <w:p w:rsidR="00955CFB" w:rsidRPr="008872EC" w:rsidRDefault="00955CFB" w:rsidP="00955CFB">
      <w:pPr>
        <w:bidi/>
        <w:spacing w:after="0" w:line="276" w:lineRule="auto"/>
        <w:ind w:firstLine="567"/>
        <w:jc w:val="both"/>
        <w:rPr>
          <w:rFonts w:ascii="Sakkal Majalla" w:hAnsi="Sakkal Majalla" w:cs="Sakkal Majalla"/>
          <w:sz w:val="32"/>
          <w:szCs w:val="32"/>
          <w:lang w:val="en-ZA" w:bidi="ar-DZ"/>
        </w:rPr>
      </w:pPr>
      <w:r w:rsidRPr="008872EC">
        <w:rPr>
          <w:rFonts w:ascii="Sakkal Majalla" w:hAnsi="Sakkal Majalla" w:cs="Sakkal Majalla"/>
          <w:sz w:val="32"/>
          <w:szCs w:val="32"/>
          <w:lang w:val="en-ZA" w:bidi="ar-DZ"/>
        </w:rPr>
        <w:t xml:space="preserve">      </w:t>
      </w:r>
      <w:r>
        <w:rPr>
          <w:rFonts w:ascii="Sakkal Majalla" w:hAnsi="Sakkal Majalla" w:cs="Sakkal Majalla"/>
          <w:sz w:val="32"/>
          <w:szCs w:val="32"/>
          <w:rtl/>
          <w:lang w:val="en-ZA" w:bidi="ar-DZ"/>
        </w:rPr>
        <w:t xml:space="preserve">تهدف هذه الدراسة إلى </w:t>
      </w:r>
      <w:r>
        <w:rPr>
          <w:rFonts w:ascii="Sakkal Majalla" w:hAnsi="Sakkal Majalla" w:cs="Sakkal Majalla" w:hint="cs"/>
          <w:sz w:val="32"/>
          <w:szCs w:val="32"/>
          <w:rtl/>
          <w:lang w:val="en-ZA" w:bidi="ar-DZ"/>
        </w:rPr>
        <w:t>إ</w:t>
      </w:r>
      <w:r w:rsidRPr="008872EC">
        <w:rPr>
          <w:rFonts w:ascii="Sakkal Majalla" w:hAnsi="Sakkal Majalla" w:cs="Sakkal Majalla"/>
          <w:sz w:val="32"/>
          <w:szCs w:val="32"/>
          <w:rtl/>
          <w:lang w:val="en-ZA" w:bidi="ar-DZ"/>
        </w:rPr>
        <w:t>براز دور قائمة التدفقات النقدية في تقييم الأداء المالي في مؤسسة اقتصادية من خلال تحليل قدرت</w:t>
      </w:r>
      <w:r>
        <w:rPr>
          <w:rFonts w:ascii="Sakkal Majalla" w:hAnsi="Sakkal Majalla" w:cs="Sakkal Majalla"/>
          <w:sz w:val="32"/>
          <w:szCs w:val="32"/>
          <w:rtl/>
          <w:lang w:val="en-ZA" w:bidi="ar-DZ"/>
        </w:rPr>
        <w:t>ها على تمويل نشاطاتها التشغيلية</w:t>
      </w:r>
      <w:r w:rsidRPr="008872EC">
        <w:rPr>
          <w:rFonts w:ascii="Sakkal Majalla" w:hAnsi="Sakkal Majalla" w:cs="Sakkal Majalla"/>
          <w:sz w:val="32"/>
          <w:szCs w:val="32"/>
          <w:rtl/>
          <w:lang w:val="en-ZA" w:bidi="ar-DZ"/>
        </w:rPr>
        <w:t>، وقد توصلنا إلى جملة من النتائج  أبرزها أن الوضعية المالية للمؤسسة تعد جيدة عند التقييم على أساس الاستحقاق، في حين تظهر المؤشرات المحسوبة على الأساس النقدي سلامة مالية، كما بين التحليل أن الأنشطة التشغيلية ساهمت بشكل إيجابي في تكوين الخزينة، في حين أن الأنشطة الاستثمارية والتمويلية شكلت عبئا على السيولة، مما أدى إلى تحقيق خزينة صافية سالبة خلال سنتي 2022 و2023، كما توصلنا إلى أن مؤسسة الإسمنت عين الكبيرة تتمتع بدرجة سيولة من متوسطة إلى ضعيفة وأنها تولد أرباح جيدة وذلك خلال الأربع سنوات من فترة الدراسة</w:t>
      </w:r>
      <w:r w:rsidRPr="008872EC">
        <w:rPr>
          <w:rFonts w:ascii="Sakkal Majalla" w:hAnsi="Sakkal Majalla" w:cs="Sakkal Majalla"/>
          <w:sz w:val="32"/>
          <w:szCs w:val="32"/>
          <w:lang w:val="en-ZA" w:bidi="ar-DZ"/>
        </w:rPr>
        <w:t>.</w:t>
      </w:r>
    </w:p>
    <w:p w:rsidR="00955CFB" w:rsidRPr="008872EC" w:rsidRDefault="00955CFB" w:rsidP="00955CFB">
      <w:pPr>
        <w:bidi/>
        <w:spacing w:after="0" w:line="276" w:lineRule="auto"/>
        <w:ind w:firstLine="567"/>
        <w:jc w:val="both"/>
        <w:rPr>
          <w:rFonts w:ascii="Sakkal Majalla" w:hAnsi="Sakkal Majalla" w:cs="Sakkal Majalla"/>
          <w:b/>
          <w:bCs/>
          <w:sz w:val="32"/>
          <w:szCs w:val="32"/>
          <w:lang w:val="en-ZA" w:bidi="ar-DZ"/>
        </w:rPr>
      </w:pPr>
      <w:r w:rsidRPr="008872EC">
        <w:rPr>
          <w:rFonts w:ascii="Sakkal Majalla" w:hAnsi="Sakkal Majalla" w:cs="Sakkal Majalla"/>
          <w:b/>
          <w:bCs/>
          <w:sz w:val="32"/>
          <w:szCs w:val="32"/>
          <w:rtl/>
          <w:lang w:val="en-ZA" w:bidi="ar-DZ"/>
        </w:rPr>
        <w:t>الكلمات المفتاحية: تقييم الأداء المالي، قائمة التدفقات النقدية، أرصدة قائمة التدفقات النقدية، النسب المالية المشتقة من قائمة التدفقات النقدية (السيولة، الربحية)</w:t>
      </w:r>
      <w:r w:rsidRPr="008872EC">
        <w:rPr>
          <w:rFonts w:ascii="Sakkal Majalla" w:hAnsi="Sakkal Majalla" w:cs="Sakkal Majalla"/>
          <w:b/>
          <w:bCs/>
          <w:sz w:val="32"/>
          <w:szCs w:val="32"/>
          <w:lang w:val="en-ZA" w:bidi="ar-DZ"/>
        </w:rPr>
        <w:t>.</w:t>
      </w:r>
    </w:p>
    <w:p w:rsidR="00955CFB" w:rsidRPr="00F06B05" w:rsidRDefault="00955CFB" w:rsidP="00955CFB">
      <w:pPr>
        <w:spacing w:after="0" w:line="276" w:lineRule="auto"/>
        <w:jc w:val="both"/>
        <w:rPr>
          <w:rFonts w:asciiTheme="majorBidi" w:hAnsiTheme="majorBidi" w:cstheme="majorBidi"/>
          <w:b/>
          <w:bCs/>
          <w:color w:val="244061" w:themeColor="accent1" w:themeShade="80"/>
          <w:sz w:val="28"/>
          <w:szCs w:val="28"/>
          <w:lang w:val="en-ZA" w:bidi="ar-DZ"/>
        </w:rPr>
      </w:pPr>
      <w:r w:rsidRPr="00F06B05">
        <w:rPr>
          <w:rFonts w:asciiTheme="majorBidi" w:hAnsiTheme="majorBidi" w:cstheme="majorBidi"/>
          <w:b/>
          <w:bCs/>
          <w:color w:val="244061" w:themeColor="accent1" w:themeShade="80"/>
          <w:sz w:val="28"/>
          <w:szCs w:val="28"/>
          <w:lang w:val="en-ZA" w:bidi="ar-DZ"/>
        </w:rPr>
        <w:t>Abstract</w:t>
      </w:r>
    </w:p>
    <w:p w:rsidR="00955CFB" w:rsidRPr="00F06B05" w:rsidRDefault="00955CFB" w:rsidP="00955CFB">
      <w:pPr>
        <w:spacing w:after="0" w:line="276" w:lineRule="auto"/>
        <w:ind w:firstLine="567"/>
        <w:jc w:val="both"/>
        <w:rPr>
          <w:rFonts w:asciiTheme="majorBidi" w:hAnsiTheme="majorBidi" w:cstheme="majorBidi"/>
          <w:sz w:val="28"/>
          <w:szCs w:val="28"/>
          <w:lang w:val="en-ZA" w:bidi="ar-DZ"/>
        </w:rPr>
      </w:pPr>
      <w:r w:rsidRPr="00F06B05">
        <w:rPr>
          <w:rFonts w:asciiTheme="majorBidi" w:hAnsiTheme="majorBidi" w:cstheme="majorBidi"/>
          <w:sz w:val="28"/>
          <w:szCs w:val="28"/>
          <w:lang w:val="en-ZA" w:bidi="ar-DZ"/>
        </w:rPr>
        <w:t xml:space="preserve">This study aims to highlight the role of the cash flow statement in assessing the financial performance of an economic institution by </w:t>
      </w:r>
      <w:proofErr w:type="spellStart"/>
      <w:r w:rsidRPr="00F06B05">
        <w:rPr>
          <w:rFonts w:asciiTheme="majorBidi" w:hAnsiTheme="majorBidi" w:cstheme="majorBidi"/>
          <w:sz w:val="28"/>
          <w:szCs w:val="28"/>
          <w:lang w:val="en-ZA" w:bidi="ar-DZ"/>
        </w:rPr>
        <w:t>analyzing</w:t>
      </w:r>
      <w:proofErr w:type="spellEnd"/>
      <w:r w:rsidRPr="00F06B05">
        <w:rPr>
          <w:rFonts w:asciiTheme="majorBidi" w:hAnsiTheme="majorBidi" w:cstheme="majorBidi"/>
          <w:sz w:val="28"/>
          <w:szCs w:val="28"/>
          <w:lang w:val="en-ZA" w:bidi="ar-DZ"/>
        </w:rPr>
        <w:t xml:space="preserve"> its ability to finance its operational activities, A number of findings were reached, the most important of which is that the financial position of the institution is considered good when evaluated on an accrual basis, while indicators calculated on a cash basis reflect financial soundness The analysis also showed that operating activities contributed positively to the treasury whereas investment and financing activities placed a burden on liquidity, leading to a negative net treasury during the years 2022 and 2023, Furthermore, the study concluded that the Ain El </w:t>
      </w:r>
      <w:proofErr w:type="spellStart"/>
      <w:r w:rsidRPr="00F06B05">
        <w:rPr>
          <w:rFonts w:asciiTheme="majorBidi" w:hAnsiTheme="majorBidi" w:cstheme="majorBidi"/>
          <w:sz w:val="28"/>
          <w:szCs w:val="28"/>
          <w:lang w:val="en-ZA" w:bidi="ar-DZ"/>
        </w:rPr>
        <w:t>Kebira</w:t>
      </w:r>
      <w:proofErr w:type="spellEnd"/>
      <w:r w:rsidRPr="00F06B05">
        <w:rPr>
          <w:rFonts w:asciiTheme="majorBidi" w:hAnsiTheme="majorBidi" w:cstheme="majorBidi"/>
          <w:sz w:val="28"/>
          <w:szCs w:val="28"/>
          <w:lang w:val="en-ZA" w:bidi="ar-DZ"/>
        </w:rPr>
        <w:t xml:space="preserve"> Cement Company has a liquidity level ranging from moderate to weak and that it generates good profits throughout the four years of the study period.</w:t>
      </w:r>
    </w:p>
    <w:p w:rsidR="00955CFB" w:rsidRPr="00F06B05" w:rsidRDefault="00955CFB" w:rsidP="00955CFB">
      <w:pPr>
        <w:spacing w:after="0" w:line="276" w:lineRule="auto"/>
        <w:ind w:firstLine="567"/>
        <w:jc w:val="both"/>
        <w:rPr>
          <w:rFonts w:asciiTheme="majorBidi" w:hAnsiTheme="majorBidi" w:cstheme="majorBidi"/>
          <w:b/>
          <w:bCs/>
          <w:sz w:val="28"/>
          <w:szCs w:val="28"/>
          <w:lang w:val="en-ZA" w:bidi="ar-DZ"/>
        </w:rPr>
      </w:pPr>
      <w:r w:rsidRPr="00F06B05">
        <w:rPr>
          <w:rFonts w:asciiTheme="majorBidi" w:hAnsiTheme="majorBidi" w:cstheme="majorBidi"/>
          <w:b/>
          <w:bCs/>
          <w:sz w:val="28"/>
          <w:szCs w:val="28"/>
          <w:lang w:val="en-ZA" w:bidi="ar-DZ"/>
        </w:rPr>
        <w:t xml:space="preserve"> Keywords: financial performance evaluation, cash flow statement, cash flow statement balances, financial ratios derived from the cash flow statement (liquidity, profitability).</w:t>
      </w:r>
    </w:p>
    <w:p w:rsidR="006B155B" w:rsidRPr="00955CFB" w:rsidRDefault="006B155B">
      <w:pPr>
        <w:rPr>
          <w:rFonts w:hint="cs"/>
          <w:rtl/>
          <w:lang w:val="en-ZA" w:bidi="ar-DZ"/>
        </w:rPr>
      </w:pPr>
      <w:bookmarkStart w:id="0" w:name="_GoBack"/>
      <w:bookmarkEnd w:id="0"/>
    </w:p>
    <w:sectPr w:rsidR="006B155B" w:rsidRPr="00955C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CFB"/>
    <w:rsid w:val="006A6962"/>
    <w:rsid w:val="006B155B"/>
    <w:rsid w:val="00955C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CFB"/>
    <w:pPr>
      <w:spacing w:after="160" w:line="259"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CFB"/>
    <w:pPr>
      <w:spacing w:after="160" w:line="259"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1606</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PC</dc:creator>
  <cp:lastModifiedBy>DELL PC</cp:lastModifiedBy>
  <cp:revision>1</cp:revision>
  <dcterms:created xsi:type="dcterms:W3CDTF">2025-07-14T08:49:00Z</dcterms:created>
  <dcterms:modified xsi:type="dcterms:W3CDTF">2025-07-14T08:50:00Z</dcterms:modified>
</cp:coreProperties>
</file>