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546C" w14:textId="77777777" w:rsidR="007C598B" w:rsidRPr="007C598B" w:rsidRDefault="007C598B" w:rsidP="007C598B">
      <w:pPr>
        <w:bidi/>
        <w:spacing w:after="0" w:line="259" w:lineRule="auto"/>
        <w:jc w:val="both"/>
        <w:rPr>
          <w:rFonts w:ascii="Sakkal Majalla" w:eastAsia="Arial" w:hAnsi="Sakkal Majalla" w:cs="Sakkal Majalla"/>
          <w:b/>
          <w:bCs/>
          <w:color w:val="000000"/>
          <w:kern w:val="0"/>
          <w:sz w:val="32"/>
          <w:szCs w:val="32"/>
          <w:rtl/>
          <w14:ligatures w14:val="none"/>
        </w:rPr>
      </w:pPr>
      <w:r w:rsidRPr="007C598B">
        <w:rPr>
          <w:rFonts w:ascii="Sakkal Majalla" w:eastAsia="Arial" w:hAnsi="Sakkal Majalla" w:cs="Sakkal Majalla" w:hint="cs"/>
          <w:b/>
          <w:bCs/>
          <w:color w:val="000000"/>
          <w:kern w:val="0"/>
          <w:sz w:val="32"/>
          <w:szCs w:val="32"/>
          <w:rtl/>
          <w14:ligatures w14:val="none"/>
        </w:rPr>
        <w:t>الملخص:</w:t>
      </w:r>
    </w:p>
    <w:p w14:paraId="2A989C49" w14:textId="77777777" w:rsidR="007C598B" w:rsidRPr="007C598B" w:rsidRDefault="007C598B" w:rsidP="007C598B">
      <w:pPr>
        <w:bidi/>
        <w:spacing w:after="0" w:line="259" w:lineRule="auto"/>
        <w:jc w:val="both"/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</w:pPr>
      <w:r w:rsidRPr="007C598B">
        <w:rPr>
          <w:rFonts w:ascii="Sakkal Majalla" w:eastAsia="Arial" w:hAnsi="Sakkal Majalla" w:cs="Sakkal Majalla" w:hint="cs"/>
          <w:color w:val="000000"/>
          <w:kern w:val="0"/>
          <w:sz w:val="32"/>
          <w:szCs w:val="32"/>
          <w:rtl/>
          <w14:ligatures w14:val="none"/>
        </w:rPr>
        <w:t xml:space="preserve">هدفت دراستنا إلى تحديد دور الإصلاح الميزانياتي في ظل القانون العضوي 18-15 الذي شرعت الوزارة والهيئات العمومية في تطبيقه خلال سنة 2023 وذلك في إطار تنفيذ الميزانية العمومية على مستوى مديرية الأشغال العمومية لولاية سطيف، حيث تم </w:t>
      </w:r>
      <w:proofErr w:type="spellStart"/>
      <w:r w:rsidRPr="007C598B">
        <w:rPr>
          <w:rFonts w:ascii="Sakkal Majalla" w:eastAsia="Arial" w:hAnsi="Sakkal Majalla" w:cs="Sakkal Majalla" w:hint="cs"/>
          <w:color w:val="000000"/>
          <w:kern w:val="0"/>
          <w:sz w:val="32"/>
          <w:szCs w:val="32"/>
          <w:rtl/>
          <w14:ligatures w14:val="none"/>
        </w:rPr>
        <w:t>الإعتماد</w:t>
      </w:r>
      <w:proofErr w:type="spellEnd"/>
      <w:r w:rsidRPr="007C598B">
        <w:rPr>
          <w:rFonts w:ascii="Sakkal Majalla" w:eastAsia="Arial" w:hAnsi="Sakkal Majalla" w:cs="Sakkal Majalla" w:hint="cs"/>
          <w:color w:val="000000"/>
          <w:kern w:val="0"/>
          <w:sz w:val="32"/>
          <w:szCs w:val="32"/>
          <w:rtl/>
          <w14:ligatures w14:val="none"/>
        </w:rPr>
        <w:t xml:space="preserve"> على المنهج الوصفي التحليلي في الدراسة النظرية، وكذا </w:t>
      </w:r>
      <w:proofErr w:type="spellStart"/>
      <w:r w:rsidRPr="007C598B">
        <w:rPr>
          <w:rFonts w:ascii="Sakkal Majalla" w:eastAsia="Arial" w:hAnsi="Sakkal Majalla" w:cs="Sakkal Majalla" w:hint="cs"/>
          <w:color w:val="000000"/>
          <w:kern w:val="0"/>
          <w:sz w:val="32"/>
          <w:szCs w:val="32"/>
          <w:rtl/>
          <w14:ligatures w14:val="none"/>
        </w:rPr>
        <w:t>الإعتماد</w:t>
      </w:r>
      <w:proofErr w:type="spellEnd"/>
      <w:r w:rsidRPr="007C598B">
        <w:rPr>
          <w:rFonts w:ascii="Sakkal Majalla" w:eastAsia="Arial" w:hAnsi="Sakkal Majalla" w:cs="Sakkal Majalla" w:hint="cs"/>
          <w:color w:val="000000"/>
          <w:kern w:val="0"/>
          <w:sz w:val="32"/>
          <w:szCs w:val="32"/>
          <w:rtl/>
          <w14:ligatures w14:val="none"/>
        </w:rPr>
        <w:t xml:space="preserve"> على الملاحظة والمقابلة وتحليل الوثائق في الدراسة الميدانية لمعرفة مدى تطبيق مستجدات القانون العضوي، وتوصلت الدراسة إلى مجموعة من النتائج أهمها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أن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 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هذا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الإصلاح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الميزانياتي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ساهم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في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تحسين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دقة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الوثائق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اللازمة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لإعداد وتنفيذ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الميزانية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العمومية،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على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رأسها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وثيقة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البرمجة،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بطاقة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</w:t>
      </w:r>
      <w:r w:rsidRPr="007C598B">
        <w:rPr>
          <w:rFonts w:ascii="Sakkal Majalla" w:eastAsia="Arial" w:hAnsi="Sakkal Majalla" w:cs="Sakkal Majalla" w:hint="cs"/>
          <w:color w:val="000000"/>
          <w:kern w:val="0"/>
          <w:sz w:val="32"/>
          <w:szCs w:val="32"/>
          <w:rtl/>
          <w:lang w:bidi="ar-DZ"/>
          <w14:ligatures w14:val="none"/>
        </w:rPr>
        <w:t>إ</w:t>
      </w:r>
      <w:proofErr w:type="spellStart"/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لتزام</w:t>
      </w:r>
      <w:proofErr w:type="spellEnd"/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، وحوالة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الدفع،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مما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جعلها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أكثر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فهما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من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قبل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الأعوان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المكلفين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بتنفيذ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الميزانية،</w:t>
      </w:r>
      <w:r w:rsidRPr="007C598B">
        <w:rPr>
          <w:rFonts w:ascii="Sakkal Majalla" w:eastAsia="Arial" w:hAnsi="Sakkal Majalla" w:cs="Sakkal Majalla" w:hint="cs"/>
          <w:color w:val="000000"/>
          <w:kern w:val="0"/>
          <w:sz w:val="32"/>
          <w:szCs w:val="32"/>
          <w:rtl/>
          <w:lang w:bidi="ar-DZ"/>
          <w14:ligatures w14:val="none"/>
        </w:rPr>
        <w:t xml:space="preserve">وتوزيعهم </w:t>
      </w:r>
      <w:proofErr w:type="spellStart"/>
      <w:r w:rsidRPr="007C598B">
        <w:rPr>
          <w:rFonts w:ascii="Sakkal Majalla" w:eastAsia="Arial" w:hAnsi="Sakkal Majalla" w:cs="Sakkal Majalla" w:hint="cs"/>
          <w:color w:val="000000"/>
          <w:kern w:val="0"/>
          <w:sz w:val="32"/>
          <w:szCs w:val="32"/>
          <w:rtl/>
          <w:lang w:bidi="ar-DZ"/>
          <w14:ligatures w14:val="none"/>
        </w:rPr>
        <w:t>الإعتمادات</w:t>
      </w:r>
      <w:proofErr w:type="spellEnd"/>
      <w:r w:rsidRPr="007C598B">
        <w:rPr>
          <w:rFonts w:ascii="Sakkal Majalla" w:eastAsia="Arial" w:hAnsi="Sakkal Majalla" w:cs="Sakkal Majalla" w:hint="cs"/>
          <w:color w:val="000000"/>
          <w:kern w:val="0"/>
          <w:sz w:val="32"/>
          <w:szCs w:val="32"/>
          <w:rtl/>
          <w:lang w:bidi="ar-DZ"/>
          <w14:ligatures w14:val="none"/>
        </w:rPr>
        <w:t xml:space="preserve"> وفق أهداف كل برنامج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 xml:space="preserve"> كما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أظهر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الإنتقال</w:t>
      </w:r>
      <w:proofErr w:type="spellEnd"/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إلى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ميزانية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البرامج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والأهداف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تطبيقا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لمبدأ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التخطيط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</w:t>
      </w:r>
      <w:r w:rsidRPr="007C598B">
        <w:rPr>
          <w:rFonts w:ascii="Sakkal Majalla" w:eastAsia="Arial" w:hAnsi="Sakkal Majalla" w:cs="Sakkal Majalla" w:hint="cs"/>
          <w:color w:val="000000"/>
          <w:kern w:val="0"/>
          <w:sz w:val="32"/>
          <w:szCs w:val="32"/>
          <w:rtl/>
          <w14:ligatures w14:val="none"/>
        </w:rPr>
        <w:t>إ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ستراتيجي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متوسط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وهذا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من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خلال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تحديد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الأهداف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المستقبلية، كما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ساهم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هذا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القانون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العضوي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في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إعادة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هيكلة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تصنيف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النفقات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العمومية،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7C598B">
        <w:rPr>
          <w:rFonts w:ascii="Sakkal Majalla" w:eastAsia="Arial" w:hAnsi="Sakkal Majalla" w:cs="Sakkal Majalla" w:hint="cs"/>
          <w:color w:val="000000"/>
          <w:kern w:val="0"/>
          <w:sz w:val="32"/>
          <w:szCs w:val="32"/>
          <w:rtl/>
          <w14:ligatures w14:val="none"/>
        </w:rPr>
        <w:t>و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</w:t>
      </w:r>
      <w:r w:rsidRPr="007C598B">
        <w:rPr>
          <w:rFonts w:ascii="Sakkal Majalla" w:eastAsia="Arial" w:hAnsi="Sakkal Majalla" w:cs="Sakkal Majalla" w:hint="cs"/>
          <w:color w:val="000000"/>
          <w:kern w:val="0"/>
          <w:sz w:val="32"/>
          <w:szCs w:val="32"/>
          <w:rtl/>
          <w14:ligatures w14:val="none"/>
        </w:rPr>
        <w:t>إ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نتقال</w:t>
      </w:r>
      <w:proofErr w:type="spellEnd"/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إلى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نموذج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موحد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يشمل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نفقات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المستخدمين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(T1)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، نفقات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تسيير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المصالح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(T2)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، نفقات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</w:t>
      </w:r>
      <w:r w:rsidRPr="007C598B">
        <w:rPr>
          <w:rFonts w:ascii="Sakkal Majalla" w:eastAsia="Arial" w:hAnsi="Sakkal Majalla" w:cs="Sakkal Majalla" w:hint="cs"/>
          <w:color w:val="000000"/>
          <w:kern w:val="0"/>
          <w:sz w:val="32"/>
          <w:szCs w:val="32"/>
          <w:rtl/>
          <w14:ligatures w14:val="none"/>
        </w:rPr>
        <w:t>إ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ستثمار</w:t>
      </w:r>
      <w:proofErr w:type="spellEnd"/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 w:hint="cs"/>
          <w:color w:val="000000"/>
          <w:kern w:val="0"/>
          <w:sz w:val="32"/>
          <w:szCs w:val="32"/>
          <w:rtl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>(T3)</w:t>
      </w:r>
      <w:r w:rsidRPr="007C598B">
        <w:rPr>
          <w:rFonts w:ascii="Sakkal Majalla" w:eastAsia="Arial" w:hAnsi="Sakkal Majalla" w:cs="Sakkal Majalla" w:hint="cs"/>
          <w:color w:val="000000"/>
          <w:kern w:val="0"/>
          <w:sz w:val="32"/>
          <w:szCs w:val="32"/>
          <w:rtl/>
          <w14:ligatures w14:val="none"/>
        </w:rPr>
        <w:t>و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 xml:space="preserve"> ونفقات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التحويل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(T4)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،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مما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عزز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توجيه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الإعتمادات</w:t>
      </w:r>
      <w:proofErr w:type="spellEnd"/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نحو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تحقيق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نتائج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قابلة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للقياس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بدل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الإكتفاء</w:t>
      </w:r>
      <w:proofErr w:type="spellEnd"/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بتغطية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الوسائل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كما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كان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color w:val="000000"/>
          <w:kern w:val="0"/>
          <w:sz w:val="32"/>
          <w:szCs w:val="32"/>
          <w:rtl/>
          <w14:ligatures w14:val="none"/>
        </w:rPr>
        <w:t>سابقا</w:t>
      </w:r>
      <w:r w:rsidRPr="007C598B">
        <w:rPr>
          <w:rFonts w:ascii="Sakkal Majalla" w:eastAsia="Arial" w:hAnsi="Sakkal Majalla" w:cs="Sakkal Majalla" w:hint="cs"/>
          <w:color w:val="000000"/>
          <w:kern w:val="0"/>
          <w:sz w:val="32"/>
          <w:szCs w:val="32"/>
          <w:rtl/>
          <w14:ligatures w14:val="none"/>
        </w:rPr>
        <w:t>.</w:t>
      </w:r>
    </w:p>
    <w:p w14:paraId="3BB06979" w14:textId="77777777" w:rsidR="007C598B" w:rsidRPr="007C598B" w:rsidRDefault="007C598B" w:rsidP="007C598B">
      <w:pPr>
        <w:bidi/>
        <w:spacing w:after="0" w:line="259" w:lineRule="auto"/>
        <w:jc w:val="both"/>
        <w:rPr>
          <w:rFonts w:ascii="Sakkal Majalla" w:eastAsia="Calibri" w:hAnsi="Sakkal Majalla" w:cs="Sakkal Majalla"/>
          <w:b/>
          <w:bCs/>
          <w:kern w:val="0"/>
          <w:sz w:val="32"/>
          <w:szCs w:val="32"/>
          <w14:ligatures w14:val="none"/>
        </w:rPr>
      </w:pPr>
      <w:r w:rsidRPr="007C598B">
        <w:rPr>
          <w:rFonts w:ascii="Sakkal Majalla" w:eastAsia="Arial" w:hAnsi="Sakkal Majalla" w:cs="Sakkal Majalla"/>
          <w:b/>
          <w:bCs/>
          <w:kern w:val="0"/>
          <w:sz w:val="32"/>
          <w:szCs w:val="32"/>
          <w:rtl/>
          <w14:ligatures w14:val="none"/>
        </w:rPr>
        <w:t>الكلمات</w:t>
      </w:r>
      <w:r w:rsidRPr="007C598B">
        <w:rPr>
          <w:rFonts w:ascii="Sakkal Majalla" w:eastAsia="Arial" w:hAnsi="Sakkal Majalla" w:cs="Sakkal Majalla"/>
          <w:b/>
          <w:bCs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b/>
          <w:bCs/>
          <w:kern w:val="0"/>
          <w:sz w:val="32"/>
          <w:szCs w:val="32"/>
          <w:rtl/>
          <w14:ligatures w14:val="none"/>
        </w:rPr>
        <w:t>المفتاحية</w:t>
      </w:r>
      <w:r w:rsidRPr="007C598B">
        <w:rPr>
          <w:rFonts w:ascii="Sakkal Majalla" w:eastAsia="Arial" w:hAnsi="Sakkal Majalla" w:cs="Sakkal Majalla"/>
          <w:b/>
          <w:bCs/>
          <w:kern w:val="0"/>
          <w:sz w:val="32"/>
          <w:szCs w:val="32"/>
          <w14:ligatures w14:val="none"/>
        </w:rPr>
        <w:t xml:space="preserve">: </w:t>
      </w:r>
    </w:p>
    <w:p w14:paraId="79CB0F56" w14:textId="77777777" w:rsidR="007C598B" w:rsidRPr="007C598B" w:rsidRDefault="007C598B" w:rsidP="007C598B">
      <w:pPr>
        <w:bidi/>
        <w:spacing w:after="0" w:line="259" w:lineRule="auto"/>
        <w:jc w:val="both"/>
        <w:rPr>
          <w:rFonts w:ascii="Sakkal Majalla" w:eastAsia="Calibri" w:hAnsi="Sakkal Majalla" w:cs="Sakkal Majalla"/>
          <w:b/>
          <w:bCs/>
          <w:color w:val="000000"/>
          <w:kern w:val="0"/>
          <w:sz w:val="32"/>
          <w:szCs w:val="32"/>
          <w:lang w:bidi="ar-DZ"/>
          <w14:ligatures w14:val="none"/>
        </w:rPr>
      </w:pPr>
      <w:r w:rsidRPr="007C598B">
        <w:rPr>
          <w:rFonts w:ascii="Sakkal Majalla" w:eastAsia="Arial" w:hAnsi="Sakkal Majalla" w:cs="Sakkal Majalla"/>
          <w:b/>
          <w:bCs/>
          <w:color w:val="000000"/>
          <w:kern w:val="0"/>
          <w:sz w:val="32"/>
          <w:szCs w:val="32"/>
          <w:rtl/>
          <w14:ligatures w14:val="none"/>
        </w:rPr>
        <w:t>إصلاح</w:t>
      </w:r>
      <w:r w:rsidRPr="007C598B">
        <w:rPr>
          <w:rFonts w:ascii="Sakkal Majalla" w:eastAsia="Arial" w:hAnsi="Sakkal Majalla" w:cs="Sakkal Majalla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 w:hint="cs"/>
          <w:b/>
          <w:bCs/>
          <w:color w:val="000000"/>
          <w:kern w:val="0"/>
          <w:sz w:val="32"/>
          <w:szCs w:val="32"/>
          <w:rtl/>
          <w14:ligatures w14:val="none"/>
        </w:rPr>
        <w:t>م</w:t>
      </w:r>
      <w:r w:rsidRPr="007C598B">
        <w:rPr>
          <w:rFonts w:ascii="Sakkal Majalla" w:eastAsia="Arial" w:hAnsi="Sakkal Majalla" w:cs="Sakkal Majalla"/>
          <w:b/>
          <w:bCs/>
          <w:color w:val="000000"/>
          <w:kern w:val="0"/>
          <w:sz w:val="32"/>
          <w:szCs w:val="32"/>
          <w:rtl/>
          <w14:ligatures w14:val="none"/>
        </w:rPr>
        <w:t>يزانياتي،</w:t>
      </w:r>
      <w:r w:rsidRPr="007C598B">
        <w:rPr>
          <w:rFonts w:ascii="Sakkal Majalla" w:eastAsia="Arial" w:hAnsi="Sakkal Majalla" w:cs="Sakkal Majalla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b/>
          <w:bCs/>
          <w:color w:val="000000"/>
          <w:kern w:val="0"/>
          <w:sz w:val="32"/>
          <w:szCs w:val="32"/>
          <w:rtl/>
          <w14:ligatures w14:val="none"/>
        </w:rPr>
        <w:t>قانون</w:t>
      </w:r>
      <w:r w:rsidRPr="007C598B">
        <w:rPr>
          <w:rFonts w:ascii="Sakkal Majalla" w:eastAsia="Arial" w:hAnsi="Sakkal Majalla" w:cs="Sakkal Majalla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b/>
          <w:bCs/>
          <w:color w:val="000000"/>
          <w:kern w:val="0"/>
          <w:sz w:val="32"/>
          <w:szCs w:val="32"/>
          <w:rtl/>
          <w14:ligatures w14:val="none"/>
        </w:rPr>
        <w:t>عضوي</w:t>
      </w:r>
      <w:r w:rsidRPr="007C598B">
        <w:rPr>
          <w:rFonts w:ascii="Sakkal Majalla" w:eastAsia="Arial" w:hAnsi="Sakkal Majalla" w:cs="Sakkal Majalla"/>
          <w:b/>
          <w:bCs/>
          <w:color w:val="000000"/>
          <w:kern w:val="0"/>
          <w:sz w:val="32"/>
          <w:szCs w:val="32"/>
          <w14:ligatures w14:val="none"/>
        </w:rPr>
        <w:t xml:space="preserve"> 18-15</w:t>
      </w:r>
      <w:r w:rsidRPr="007C598B">
        <w:rPr>
          <w:rFonts w:ascii="Sakkal Majalla" w:eastAsia="Arial" w:hAnsi="Sakkal Majalla" w:cs="Sakkal Majalla"/>
          <w:b/>
          <w:bCs/>
          <w:color w:val="000000"/>
          <w:kern w:val="0"/>
          <w:sz w:val="32"/>
          <w:szCs w:val="32"/>
          <w:rtl/>
          <w14:ligatures w14:val="none"/>
        </w:rPr>
        <w:t>،</w:t>
      </w:r>
      <w:r w:rsidRPr="007C598B">
        <w:rPr>
          <w:rFonts w:ascii="Sakkal Majalla" w:eastAsia="Arial" w:hAnsi="Sakkal Majalla" w:cs="Sakkal Majalla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b/>
          <w:bCs/>
          <w:color w:val="000000"/>
          <w:kern w:val="0"/>
          <w:sz w:val="32"/>
          <w:szCs w:val="32"/>
          <w:rtl/>
          <w14:ligatures w14:val="none"/>
        </w:rPr>
        <w:t>ميزانية</w:t>
      </w:r>
      <w:r w:rsidRPr="007C598B">
        <w:rPr>
          <w:rFonts w:ascii="Sakkal Majalla" w:eastAsia="Arial" w:hAnsi="Sakkal Majalla" w:cs="Sakkal Majalla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b/>
          <w:bCs/>
          <w:color w:val="000000"/>
          <w:kern w:val="0"/>
          <w:sz w:val="32"/>
          <w:szCs w:val="32"/>
          <w:rtl/>
          <w14:ligatures w14:val="none"/>
        </w:rPr>
        <w:t>عمومية، تنفيذ</w:t>
      </w:r>
      <w:r w:rsidRPr="007C598B">
        <w:rPr>
          <w:rFonts w:ascii="Sakkal Majalla" w:eastAsia="Arial" w:hAnsi="Sakkal Majalla" w:cs="Sakkal Majalla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b/>
          <w:bCs/>
          <w:color w:val="000000"/>
          <w:kern w:val="0"/>
          <w:sz w:val="32"/>
          <w:szCs w:val="32"/>
          <w:rtl/>
          <w14:ligatures w14:val="none"/>
        </w:rPr>
        <w:t>الميزانية،</w:t>
      </w:r>
      <w:r w:rsidRPr="007C598B">
        <w:rPr>
          <w:rFonts w:ascii="Sakkal Majalla" w:eastAsia="Arial" w:hAnsi="Sakkal Majalla" w:cs="Sakkal Majalla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 w:hint="cs"/>
          <w:b/>
          <w:bCs/>
          <w:color w:val="000000"/>
          <w:kern w:val="0"/>
          <w:sz w:val="32"/>
          <w:szCs w:val="32"/>
          <w:rtl/>
          <w14:ligatures w14:val="none"/>
        </w:rPr>
        <w:t>إعداد</w:t>
      </w:r>
      <w:r w:rsidRPr="007C598B">
        <w:rPr>
          <w:rFonts w:ascii="Sakkal Majalla" w:eastAsia="Arial" w:hAnsi="Sakkal Majalla" w:cs="Sakkal Majalla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7C598B">
        <w:rPr>
          <w:rFonts w:ascii="Sakkal Majalla" w:eastAsia="Arial" w:hAnsi="Sakkal Majalla" w:cs="Sakkal Majalla"/>
          <w:b/>
          <w:bCs/>
          <w:color w:val="000000"/>
          <w:kern w:val="0"/>
          <w:sz w:val="32"/>
          <w:szCs w:val="32"/>
          <w:rtl/>
          <w14:ligatures w14:val="none"/>
        </w:rPr>
        <w:t>الميزانية</w:t>
      </w:r>
      <w:r w:rsidRPr="007C598B">
        <w:rPr>
          <w:rFonts w:ascii="Sakkal Majalla" w:eastAsia="Arial" w:hAnsi="Sakkal Majalla" w:cs="Sakkal Majalla" w:hint="cs"/>
          <w:b/>
          <w:bCs/>
          <w:color w:val="000000"/>
          <w:kern w:val="0"/>
          <w:sz w:val="32"/>
          <w:szCs w:val="32"/>
          <w:rtl/>
          <w14:ligatures w14:val="none"/>
        </w:rPr>
        <w:t>.</w:t>
      </w:r>
      <w:r w:rsidRPr="007C598B">
        <w:rPr>
          <w:rFonts w:ascii="Sakkal Majalla" w:eastAsia="Arial" w:hAnsi="Sakkal Majalla" w:cs="Sakkal Majalla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</w:p>
    <w:p w14:paraId="7E1841E9" w14:textId="77777777" w:rsidR="007C598B" w:rsidRPr="007C598B" w:rsidRDefault="007C598B" w:rsidP="007C598B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en-US"/>
          <w14:ligatures w14:val="none"/>
        </w:rPr>
      </w:pPr>
      <w:proofErr w:type="gramStart"/>
      <w:r w:rsidRPr="007C598B">
        <w:rPr>
          <w:rFonts w:ascii="Times New Roman" w:eastAsia="Arial" w:hAnsi="Times New Roman" w:cs="Times New Roman"/>
          <w:b/>
          <w:bCs/>
          <w:color w:val="252525"/>
          <w:kern w:val="0"/>
          <w:sz w:val="26"/>
          <w:szCs w:val="26"/>
          <w14:ligatures w14:val="none"/>
        </w:rPr>
        <w:t>Abstract</w:t>
      </w:r>
      <w:r w:rsidRPr="007C598B">
        <w:rPr>
          <w:rFonts w:ascii="Times New Roman" w:eastAsia="Arial" w:hAnsi="Times New Roman" w:cs="Times New Roman"/>
          <w:b/>
          <w:bCs/>
          <w:color w:val="252525"/>
          <w:kern w:val="0"/>
          <w:sz w:val="26"/>
          <w:szCs w:val="26"/>
          <w:lang w:val="en-US"/>
          <w14:ligatures w14:val="none"/>
        </w:rPr>
        <w:t>:</w:t>
      </w:r>
      <w:proofErr w:type="gramEnd"/>
      <w:r w:rsidRPr="007C598B">
        <w:rPr>
          <w:rFonts w:ascii="Times New Roman" w:eastAsia="Arial" w:hAnsi="Times New Roman" w:cs="Times New Roman"/>
          <w:b/>
          <w:bCs/>
          <w:color w:val="252525"/>
          <w:kern w:val="0"/>
          <w:sz w:val="26"/>
          <w:szCs w:val="26"/>
          <w:lang w:val="en-US"/>
          <w14:ligatures w14:val="none"/>
        </w:rPr>
        <w:t xml:space="preserve"> </w:t>
      </w:r>
    </w:p>
    <w:p w14:paraId="03A5889A" w14:textId="77777777" w:rsidR="007C598B" w:rsidRPr="007C598B" w:rsidRDefault="007C598B" w:rsidP="007C598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7C598B">
        <w:rPr>
          <w:rFonts w:ascii="Times New Roman" w:eastAsia="Arial" w:hAnsi="Times New Roman" w:cs="Times New Roman"/>
          <w:color w:val="252525"/>
          <w:kern w:val="0"/>
          <w:sz w:val="26"/>
          <w:szCs w:val="26"/>
          <w:lang w:val="en-US"/>
          <w14:ligatures w14:val="none"/>
        </w:rPr>
        <w:t xml:space="preserve">This study investigates the role of budgetary reform under Organic Law No. 18-15, Adopted by the Ministry of Finance and public institutions in 2023. The analysis focuses on its implementation within the Directorate of Public Works of the Wilaya of </w:t>
      </w:r>
      <w:proofErr w:type="spellStart"/>
      <w:r w:rsidRPr="007C598B">
        <w:rPr>
          <w:rFonts w:ascii="Times New Roman" w:eastAsia="Arial" w:hAnsi="Times New Roman" w:cs="Times New Roman"/>
          <w:color w:val="252525"/>
          <w:kern w:val="0"/>
          <w:sz w:val="26"/>
          <w:szCs w:val="26"/>
          <w:lang w:val="en-US"/>
          <w14:ligatures w14:val="none"/>
        </w:rPr>
        <w:t>Sétif</w:t>
      </w:r>
      <w:proofErr w:type="spellEnd"/>
      <w:r w:rsidRPr="007C598B">
        <w:rPr>
          <w:rFonts w:ascii="Times New Roman" w:eastAsia="Arial" w:hAnsi="Times New Roman" w:cs="Times New Roman"/>
          <w:color w:val="252525"/>
          <w:kern w:val="0"/>
          <w:sz w:val="26"/>
          <w:szCs w:val="26"/>
          <w:lang w:val="en-US"/>
          <w14:ligatures w14:val="none"/>
        </w:rPr>
        <w:t>. A descriptive-analytical method was used for the theoretical framework, while observation, interviews, and document analysis supported the fieldwork.</w:t>
      </w:r>
    </w:p>
    <w:p w14:paraId="0076204A" w14:textId="77777777" w:rsidR="007C598B" w:rsidRPr="007C598B" w:rsidRDefault="007C598B" w:rsidP="007C598B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7C598B">
        <w:rPr>
          <w:rFonts w:ascii="Times New Roman" w:eastAsia="Arial" w:hAnsi="Times New Roman" w:cs="Times New Roman"/>
          <w:color w:val="252525"/>
          <w:kern w:val="0"/>
          <w:sz w:val="26"/>
          <w:szCs w:val="26"/>
          <w:lang w:val="en-US"/>
          <w14:ligatures w14:val="none"/>
        </w:rPr>
        <w:t>The results show that the reform has led to clearer and more accurate financial documentation: such as the programming document, commitment form, and payment order. Making them easier for staff to understand and apply. The transition to program and objective based budgeting introduced medium-term strategic planning (Typically over three years), enhancing the alignment between financial resources and policy goals. Furthermore, the reform introduced a standardized classification of public expenditures (T1: personnel, T2: operations, T3: investment, T4: transfers), which supports more results-oriented budgeting. Finally, the study concludes that Organic Law No. 18-15 has contributed to improving transparency, efficiency, and Results-based management in public financial governance.</w:t>
      </w:r>
    </w:p>
    <w:p w14:paraId="4EC16E08" w14:textId="77777777" w:rsidR="007C598B" w:rsidRPr="007C598B" w:rsidRDefault="007C598B" w:rsidP="007C598B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proofErr w:type="spellStart"/>
      <w:proofErr w:type="gramStart"/>
      <w:r w:rsidRPr="007C598B">
        <w:rPr>
          <w:rFonts w:ascii="Times New Roman" w:eastAsia="Arial" w:hAnsi="Times New Roman" w:cs="Times New Roman"/>
          <w:b/>
          <w:bCs/>
          <w:color w:val="252525"/>
          <w:kern w:val="0"/>
          <w:sz w:val="26"/>
          <w:szCs w:val="26"/>
          <w14:ligatures w14:val="none"/>
        </w:rPr>
        <w:t>Keywoods</w:t>
      </w:r>
      <w:proofErr w:type="spellEnd"/>
      <w:r w:rsidRPr="007C598B">
        <w:rPr>
          <w:rFonts w:ascii="Times New Roman" w:eastAsia="Arial" w:hAnsi="Times New Roman" w:cs="Times New Roman"/>
          <w:b/>
          <w:bCs/>
          <w:color w:val="252525"/>
          <w:kern w:val="0"/>
          <w:sz w:val="26"/>
          <w:szCs w:val="26"/>
          <w14:ligatures w14:val="none"/>
        </w:rPr>
        <w:t>:</w:t>
      </w:r>
      <w:proofErr w:type="gramEnd"/>
    </w:p>
    <w:p w14:paraId="6DA6F6C1" w14:textId="77777777" w:rsidR="007C598B" w:rsidRPr="007C598B" w:rsidRDefault="007C598B" w:rsidP="007C598B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14:ligatures w14:val="none"/>
        </w:rPr>
      </w:pPr>
      <w:proofErr w:type="spellStart"/>
      <w:r w:rsidRPr="007C598B">
        <w:rPr>
          <w:rFonts w:ascii="Times New Roman" w:eastAsia="Arial" w:hAnsi="Times New Roman" w:cs="Times New Roman"/>
          <w:b/>
          <w:bCs/>
          <w:color w:val="252525"/>
          <w:kern w:val="0"/>
          <w:sz w:val="26"/>
          <w:szCs w:val="26"/>
          <w14:ligatures w14:val="none"/>
        </w:rPr>
        <w:t>Budgetary</w:t>
      </w:r>
      <w:proofErr w:type="spellEnd"/>
      <w:r w:rsidRPr="007C598B">
        <w:rPr>
          <w:rFonts w:ascii="Times New Roman" w:eastAsia="Arial" w:hAnsi="Times New Roman" w:cs="Times New Roman"/>
          <w:b/>
          <w:bCs/>
          <w:color w:val="252525"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 w:rsidRPr="007C598B">
        <w:rPr>
          <w:rFonts w:ascii="Times New Roman" w:eastAsia="Arial" w:hAnsi="Times New Roman" w:cs="Times New Roman"/>
          <w:b/>
          <w:bCs/>
          <w:color w:val="252525"/>
          <w:kern w:val="0"/>
          <w:sz w:val="26"/>
          <w:szCs w:val="26"/>
          <w14:ligatures w14:val="none"/>
        </w:rPr>
        <w:t>reform,Organic</w:t>
      </w:r>
      <w:proofErr w:type="spellEnd"/>
      <w:proofErr w:type="gramEnd"/>
      <w:r w:rsidRPr="007C598B">
        <w:rPr>
          <w:rFonts w:ascii="Times New Roman" w:eastAsia="Arial" w:hAnsi="Times New Roman" w:cs="Times New Roman"/>
          <w:b/>
          <w:bCs/>
          <w:color w:val="252525"/>
          <w:kern w:val="0"/>
          <w:sz w:val="26"/>
          <w:szCs w:val="26"/>
          <w14:ligatures w14:val="none"/>
        </w:rPr>
        <w:t xml:space="preserve"> Law 18-15, the public budget, budget </w:t>
      </w:r>
      <w:proofErr w:type="spellStart"/>
      <w:r w:rsidRPr="007C598B">
        <w:rPr>
          <w:rFonts w:ascii="Times New Roman" w:eastAsia="Arial" w:hAnsi="Times New Roman" w:cs="Times New Roman"/>
          <w:b/>
          <w:bCs/>
          <w:color w:val="252525"/>
          <w:kern w:val="0"/>
          <w:sz w:val="26"/>
          <w:szCs w:val="26"/>
          <w14:ligatures w14:val="none"/>
        </w:rPr>
        <w:t>implementation</w:t>
      </w:r>
      <w:proofErr w:type="spellEnd"/>
      <w:r w:rsidRPr="007C598B">
        <w:rPr>
          <w:rFonts w:ascii="Times New Roman" w:eastAsia="Arial" w:hAnsi="Times New Roman" w:cs="Times New Roman"/>
          <w:b/>
          <w:bCs/>
          <w:color w:val="252525"/>
          <w:kern w:val="0"/>
          <w:sz w:val="26"/>
          <w:szCs w:val="26"/>
          <w14:ligatures w14:val="none"/>
        </w:rPr>
        <w:t xml:space="preserve">, and budget </w:t>
      </w:r>
      <w:proofErr w:type="spellStart"/>
      <w:r w:rsidRPr="007C598B">
        <w:rPr>
          <w:rFonts w:ascii="Times New Roman" w:eastAsia="Arial" w:hAnsi="Times New Roman" w:cs="Times New Roman"/>
          <w:b/>
          <w:bCs/>
          <w:color w:val="252525"/>
          <w:kern w:val="0"/>
          <w:sz w:val="26"/>
          <w:szCs w:val="26"/>
          <w14:ligatures w14:val="none"/>
        </w:rPr>
        <w:t>preparation</w:t>
      </w:r>
      <w:proofErr w:type="spellEnd"/>
      <w:r w:rsidRPr="007C598B">
        <w:rPr>
          <w:rFonts w:ascii="Times New Roman" w:eastAsia="Arial" w:hAnsi="Times New Roman" w:cs="Times New Roman"/>
          <w:b/>
          <w:bCs/>
          <w:color w:val="252525"/>
          <w:kern w:val="0"/>
          <w:sz w:val="26"/>
          <w:szCs w:val="26"/>
          <w14:ligatures w14:val="none"/>
        </w:rPr>
        <w:t>.</w:t>
      </w:r>
    </w:p>
    <w:sectPr w:rsidR="007C598B" w:rsidRPr="007C598B" w:rsidSect="007C598B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8A09" w14:textId="77777777" w:rsidR="00000000" w:rsidRDefault="00000000" w:rsidP="001C4031">
    <w:pPr>
      <w:pStyle w:val="Pieddepage"/>
      <w:jc w:val="center"/>
    </w:pPr>
  </w:p>
  <w:p w14:paraId="39842382" w14:textId="77777777" w:rsidR="00000000" w:rsidRDefault="00000000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4B37" w14:textId="77777777" w:rsidR="00000000" w:rsidRPr="001C4031" w:rsidRDefault="00000000" w:rsidP="001C403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D3"/>
    <w:rsid w:val="004236CC"/>
    <w:rsid w:val="007C598B"/>
    <w:rsid w:val="00E0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10281-439F-4B57-BE68-25DB92A2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6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6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6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6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6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6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6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6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6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6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6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6AD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6AD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6A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6A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6A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6A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6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6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6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6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6A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6A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6AD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6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6AD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6AD3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C598B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7C598B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C598B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7C598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2025-07-13T21:50:00Z</dcterms:created>
  <dcterms:modified xsi:type="dcterms:W3CDTF">2025-07-13T21:51:00Z</dcterms:modified>
</cp:coreProperties>
</file>