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5C" w:rsidRDefault="005F4CC8">
      <w:pPr>
        <w:rPr>
          <w:lang w:bidi="ar-DZ"/>
        </w:rPr>
      </w:pPr>
      <w:r w:rsidRPr="002353EB">
        <w:rPr>
          <w:rFonts w:ascii="Sakkal Majalla" w:hAnsi="Sakkal Majalla" w:cs="Sakkal Majalla"/>
          <w:b/>
          <w:bCs/>
          <w:noProof/>
          <w:kern w:val="24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F7F34" wp14:editId="57BF9DB2">
                <wp:simplePos x="0" y="0"/>
                <wp:positionH relativeFrom="margin">
                  <wp:posOffset>-506730</wp:posOffset>
                </wp:positionH>
                <wp:positionV relativeFrom="paragraph">
                  <wp:posOffset>-278130</wp:posOffset>
                </wp:positionV>
                <wp:extent cx="7176871" cy="9797415"/>
                <wp:effectExtent l="0" t="0" r="24130" b="1333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6871" cy="979741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197C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CC8" w:rsidRPr="009C134A" w:rsidRDefault="005F4CC8" w:rsidP="005F4CC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val="en-US" w:bidi="ar-DZ"/>
                              </w:rPr>
                            </w:pPr>
                            <w:r w:rsidRPr="009C134A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</w:t>
                            </w:r>
                            <w:r w:rsidRPr="009C13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ملخص</w:t>
                            </w:r>
                          </w:p>
                          <w:p w:rsidR="005F4CC8" w:rsidRDefault="009B27EF" w:rsidP="008F3621">
                            <w:pPr>
                              <w:bidi/>
                              <w:spacing w:line="276" w:lineRule="auto"/>
                              <w:ind w:firstLine="336"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تهدف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الدّراسة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إلى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إبراز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الأثر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الّذي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تحدثه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عمليّة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توحيد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الحسابات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القوائم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الماليّة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الموحّدة،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مع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التّركيز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منظورين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رئيسيين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هما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النّظام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المحاسبي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المالي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والنّظام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الجبائ</w:t>
                            </w:r>
                            <w:r w:rsidR="005F4CC8" w:rsidRPr="009C134A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ي؛</w:t>
                            </w:r>
                          </w:p>
                          <w:p w:rsidR="005F4CC8" w:rsidRDefault="009B27EF" w:rsidP="008F3621">
                            <w:pPr>
                              <w:bidi/>
                              <w:spacing w:line="276" w:lineRule="auto"/>
                              <w:ind w:firstLine="336"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ومن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أجل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ذلك،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تمّ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الاعتماد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المنهج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الوصفي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التّحليلي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الجانب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النّظري،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حيث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>تناول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>مختلف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متغيّرات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المرتبطة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بموضوع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الدّراسة،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>إلى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>جانب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>إجراء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دراسة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حالة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مصلحة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التّوحيد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المحاسبي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التّابعة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للشّركة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الأمّ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لمجمّع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51375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shd w:val="clear" w:color="auto" w:fill="FFFFFF"/>
                              </w:rPr>
                              <w:t>Condor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الجزائر،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وذلك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خلال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تحليل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معالجة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مختلف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الوثائق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المحاسبيّة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والجبائي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للسنة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المالية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2024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؛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  <w:p w:rsidR="005F4CC8" w:rsidRDefault="009B27EF" w:rsidP="008F3621">
                            <w:pPr>
                              <w:bidi/>
                              <w:spacing w:line="276" w:lineRule="auto"/>
                              <w:ind w:firstLine="336"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وقد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توصّلت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الدّراسة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إلى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عدّة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نتائج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أهم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ّ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أنّ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تقنية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الت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ّ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وحيد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بمراحلها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الث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ّ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لاثة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تصدر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قوائم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ماليّة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موحّدة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تمثّل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بدقّة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الوضع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الاقتصادي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الفعلي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للمجمّع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ككيان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واحد،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ممّا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يُس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تحسين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عمليّة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اتّخاذ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القرارات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الاستيراتيجيّة؛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  <w:p w:rsidR="005F4CC8" w:rsidRDefault="009B27EF" w:rsidP="008F3621">
                            <w:pPr>
                              <w:bidi/>
                              <w:spacing w:line="276" w:lineRule="auto"/>
                              <w:ind w:firstLine="336"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وفي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الصدد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تؤكّد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الدّراسة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أهمّيّة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تحقيق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التّوافق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بين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النّظام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المحاسبي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المالي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والنّظام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الجبائي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والقانون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التّجاري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جهة،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وبين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النّظام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المحاسبي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المالي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والتحديثات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المستمرة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معايير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المحاسبة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الدّوليّة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تتعلق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بكيفية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اعداد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القوائم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الموحدة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من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جهة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5F4CC8" w:rsidRPr="009C134A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أخرى</w:t>
                            </w:r>
                            <w:r w:rsidR="005F4CC8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</w:p>
                          <w:p w:rsidR="005F4CC8" w:rsidRPr="009C134A" w:rsidRDefault="005F4CC8" w:rsidP="005F4CC8">
                            <w:pPr>
                              <w:bidi/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9C134A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الكلمات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المفتاحية: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توحيد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الحسابات،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القوائم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الماليّة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الموحّدة،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المجمّعات،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الشّركة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الأم،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الشّركات</w:t>
                            </w:r>
                            <w:r w:rsidR="009B27EF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9C134A"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التّابعة.</w:t>
                            </w:r>
                          </w:p>
                          <w:p w:rsidR="005F4CC8" w:rsidRPr="00F15C24" w:rsidRDefault="005F4CC8" w:rsidP="005F4CC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15C24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Abstract</w:t>
                            </w:r>
                          </w:p>
                          <w:p w:rsidR="005F4CC8" w:rsidRPr="00F15C24" w:rsidRDefault="009B27EF" w:rsidP="005F4CC8">
                            <w:pPr>
                              <w:jc w:val="lowKashida"/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study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aims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to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highlight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impact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consolidation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process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consolidated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financial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statements,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focusing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two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main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perspectives,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namely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financial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accounting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system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and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tax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system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;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For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this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purpose,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descriptive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and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analytical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approach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was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adopted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for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theoretical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framwork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addressing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all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variables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related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to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study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additionally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case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study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was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conducted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accounting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consolidation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parent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company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Condor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Group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in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Algeria,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with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processing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and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analysis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various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accounting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and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tax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documents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for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fiscal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year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2024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;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study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reach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ed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several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findings,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most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significant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which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is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that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three-phase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consolidation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pro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cess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produces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consolidated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financial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statements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that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accurately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re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flect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actual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economic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position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group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single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entity,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thereby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enhancing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quality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strategic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decision-making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;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In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this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regard,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study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underlines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significance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achieving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accounting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harmonization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between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national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financial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accounting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system,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tax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regime,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and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commercial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law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one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hand,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and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addressing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ongoing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challenges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posed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by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international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accounting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standards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re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garding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preparation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consolidated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financial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statements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on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r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4CC8" w:rsidRPr="00B27B79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other.</w:t>
                            </w:r>
                          </w:p>
                          <w:p w:rsidR="005F4CC8" w:rsidRPr="00F15C24" w:rsidRDefault="005F4CC8" w:rsidP="005F4CC8">
                            <w:pPr>
                              <w:rPr>
                                <w:rFonts w:ascii="Sakkal Majalla" w:hAnsi="Sakkal Majalla" w:cs="Sakkal Majalla"/>
                                <w:kern w:val="24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15C24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Key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Word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: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consolidation,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Consolidated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financial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7D3373">
                              <w:rPr>
                                <w:rFonts w:asciiTheme="majorBidi" w:hAnsiTheme="majorBidi" w:cstheme="majorBidi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statements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,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Groups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,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Pare</w:t>
                            </w:r>
                            <w:r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nt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company,</w:t>
                            </w:r>
                            <w:r w:rsidR="009B27EF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Subsidiaries</w:t>
                            </w:r>
                            <w:r w:rsidRPr="00F15C24">
                              <w:rPr>
                                <w:rFonts w:asciiTheme="majorBidi" w:hAnsiTheme="majorBidi" w:cstheme="majorBidi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F7F34" id="Rectangle 66" o:spid="_x0000_s1026" style="position:absolute;margin-left:-39.9pt;margin-top:-21.9pt;width:565.1pt;height:7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" filled="f" strokecolor="#0197c1" strokeweight="2pt">
                <v:stroke linestyle="thinThin"/>
                <v:textbox>
                  <w:txbxContent>
                    <w:p w:rsidR="005F4CC8" w:rsidRPr="009C134A" w:rsidRDefault="005F4CC8" w:rsidP="005F4CC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kern w:val="24"/>
                          <w:sz w:val="32"/>
                          <w:szCs w:val="32"/>
                          <w:lang w:val="en-US" w:bidi="ar-DZ"/>
                        </w:rPr>
                      </w:pPr>
                      <w:r w:rsidRPr="009C134A">
                        <w:rPr>
                          <w:rFonts w:ascii="Sakkal Majalla" w:hAnsi="Sakkal Majalla" w:cs="Sakkal Majalla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</w:t>
                      </w:r>
                      <w:r w:rsidRPr="009C134A">
                        <w:rPr>
                          <w:rFonts w:ascii="Sakkal Majalla" w:hAnsi="Sakkal Majalla" w:cs="Sakkal Majalla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ملخص</w:t>
                      </w:r>
                    </w:p>
                    <w:p w:rsidR="005F4CC8" w:rsidRDefault="009B27EF" w:rsidP="008F3621">
                      <w:pPr>
                        <w:bidi/>
                        <w:spacing w:line="276" w:lineRule="auto"/>
                        <w:ind w:firstLine="336"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تهدف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الدّراسة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إلى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إبراز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الأثر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الّذي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تحدثه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عمليّة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توحيد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الحسابات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على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القوائم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الماليّة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الموحّدة،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مع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التّركيز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على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منظورين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رئيسيين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هما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النّظام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المحاسبي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المالي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والنّظام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الجبائ</w:t>
                      </w:r>
                      <w:r w:rsidR="005F4CC8" w:rsidRPr="009C134A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ي؛</w:t>
                      </w:r>
                    </w:p>
                    <w:p w:rsidR="005F4CC8" w:rsidRDefault="009B27EF" w:rsidP="008F3621">
                      <w:pPr>
                        <w:bidi/>
                        <w:spacing w:line="276" w:lineRule="auto"/>
                        <w:ind w:firstLine="336"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ومن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أجل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ذلك،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تمّ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الاعتماد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على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المنهج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الوصفي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التّحليلي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في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الجانب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النّظري،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حيث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>تناول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>مختلف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ال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متغيّرات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المرتبطة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بموضوع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الدّراسة،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>إلى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>جانب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>إجراء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  <w:lang w:bidi="ar-DZ"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دراسة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حالة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في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مصلحة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التّوحيد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المحاسبي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التّابعة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للشّركة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الأمّ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لمجمّع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513754">
                        <w:rPr>
                          <w:rFonts w:asciiTheme="majorBidi" w:hAnsiTheme="majorBidi" w:cstheme="majorBidi"/>
                          <w:sz w:val="28"/>
                          <w:szCs w:val="28"/>
                          <w:shd w:val="clear" w:color="auto" w:fill="FFFFFF"/>
                        </w:rPr>
                        <w:t>Condor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في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الجزائر،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وذلك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من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خلال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تحليل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و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معالجة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مختلف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الوثائق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المحاسبيّة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والجبائي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للسنة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المالية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2024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؛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  <w:p w:rsidR="005F4CC8" w:rsidRDefault="009B27EF" w:rsidP="008F3621">
                      <w:pPr>
                        <w:bidi/>
                        <w:spacing w:line="276" w:lineRule="auto"/>
                        <w:ind w:firstLine="336"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وقد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توصّلت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الدّراسة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إلى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عدّة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نتائج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أهم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ّ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ها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أنّ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تقنية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الت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ّ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وحيد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بمراحلها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الث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ّ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لاثة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تصدر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قوائم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ماليّة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موحّدة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تمثّل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بدقّة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الوضع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الاقتصادي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الفعلي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للمجمّع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ككيان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واحد،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ممّا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يُس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ا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هم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في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تحسين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عمليّة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اتّخاذ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القرارات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الاستيراتيجيّة؛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  <w:p w:rsidR="005F4CC8" w:rsidRDefault="009B27EF" w:rsidP="008F3621">
                      <w:pPr>
                        <w:bidi/>
                        <w:spacing w:line="276" w:lineRule="auto"/>
                        <w:ind w:firstLine="336"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وفي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هذا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الصدد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تؤكّد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الدّراسة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على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أهمّيّة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تحقيق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التّوافق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بين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النّظام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المحاسبي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المالي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والنّظام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الجبائي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والقانون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التّجاري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جهة،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وبين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النّظام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المحاسبي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المالي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والتحديثات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المستمرة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في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معايير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المحاسبة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الدّوليّة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التي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تتعلق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بكيفية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اعداد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القوائم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الموحدة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من</w:t>
                      </w:r>
                      <w:bookmarkStart w:id="1" w:name="_GoBack"/>
                      <w:bookmarkEnd w:id="1"/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جهة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 xml:space="preserve"> </w:t>
                      </w:r>
                      <w:r w:rsidR="005F4CC8" w:rsidRPr="009C134A">
                        <w:rPr>
                          <w:rFonts w:ascii="Sakkal Majalla" w:hAnsi="Sakkal Majalla" w:cs="Sakkal Majalla"/>
                          <w:sz w:val="32"/>
                          <w:szCs w:val="32"/>
                          <w:shd w:val="clear" w:color="auto" w:fill="FFFFFF"/>
                          <w:rtl/>
                        </w:rPr>
                        <w:t>أخرى</w:t>
                      </w:r>
                      <w:r w:rsidR="005F4CC8">
                        <w:rPr>
                          <w:rFonts w:ascii="Sakkal Majalla" w:hAnsi="Sakkal Majalla" w:cs="Sakkal Majalla" w:hint="cs"/>
                          <w:sz w:val="32"/>
                          <w:szCs w:val="32"/>
                          <w:shd w:val="clear" w:color="auto" w:fill="FFFFFF"/>
                          <w:rtl/>
                        </w:rPr>
                        <w:t>.</w:t>
                      </w:r>
                    </w:p>
                    <w:p w:rsidR="005F4CC8" w:rsidRPr="009C134A" w:rsidRDefault="005F4CC8" w:rsidP="005F4CC8">
                      <w:pPr>
                        <w:bidi/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9C134A">
                        <w:rPr>
                          <w:rFonts w:ascii="Sakkal Majalla" w:hAnsi="Sakkal Majalla" w:cs="Sakkal Majalla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الكلمات</w:t>
                      </w:r>
                      <w:r w:rsidR="009B27EF">
                        <w:rPr>
                          <w:rFonts w:ascii="Sakkal Majalla" w:hAnsi="Sakkal Majalla" w:cs="Sakkal Majalla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المفتاحية: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توحيد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الحسابات،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القوائم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الماليّة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الموحّدة،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المجمّعات،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الشّركة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الأم،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الشّركات</w:t>
                      </w:r>
                      <w:r w:rsidR="009B27EF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</w:t>
                      </w:r>
                      <w:r w:rsidRPr="009C134A"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val="en-US" w:bidi="ar-DZ"/>
                        </w:rPr>
                        <w:t>التّابعة.</w:t>
                      </w:r>
                    </w:p>
                    <w:p w:rsidR="005F4CC8" w:rsidRPr="00F15C24" w:rsidRDefault="005F4CC8" w:rsidP="005F4CC8">
                      <w:pPr>
                        <w:rPr>
                          <w:rFonts w:asciiTheme="majorBidi" w:hAnsiTheme="majorBidi" w:cstheme="majorBidi"/>
                          <w:b/>
                          <w:bCs/>
                          <w:kern w:val="24"/>
                          <w:sz w:val="28"/>
                          <w:szCs w:val="28"/>
                          <w:lang w:bidi="ar-DZ"/>
                        </w:rPr>
                      </w:pPr>
                      <w:r w:rsidRPr="00F15C24">
                        <w:rPr>
                          <w:rFonts w:asciiTheme="majorBidi" w:hAnsiTheme="majorBidi" w:cstheme="majorBidi"/>
                          <w:b/>
                          <w:bCs/>
                          <w:kern w:val="24"/>
                          <w:sz w:val="28"/>
                          <w:szCs w:val="28"/>
                          <w:lang w:bidi="ar-DZ"/>
                        </w:rPr>
                        <w:t>Abstract</w:t>
                      </w:r>
                    </w:p>
                    <w:p w:rsidR="005F4CC8" w:rsidRPr="00F15C24" w:rsidRDefault="009B27EF" w:rsidP="005F4CC8">
                      <w:pPr>
                        <w:jc w:val="lowKashida"/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study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aims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to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highlight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impact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consolidation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process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consolidated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financial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statements,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focusing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two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main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perspectives,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namely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financial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accounting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system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and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tax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system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;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</w:rPr>
                        <w:br/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For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this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purpose,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descriptive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and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analytical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approach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was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adopted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for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theoretical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framwork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addressing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all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variables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related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to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study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additionally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case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study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was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conducted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accounting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consolidation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parent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company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Condor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Group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in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Algeria,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with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processing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and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analysis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various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accounting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and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tax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documents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for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fiscal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year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2024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;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</w:rPr>
                        <w:br/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study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reach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ed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several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findings,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most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significant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which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is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that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three-phase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consolidation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pro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cess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produces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consolidated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financial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statements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that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accurately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re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flect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actual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economic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position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group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single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entity,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thereby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enhancing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quality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strategic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decision-making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;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</w:rPr>
                        <w:br/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In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this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regard,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study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underlines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significance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achieving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accounting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harmonization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between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national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financial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accounting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system,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tax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regime,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and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commercial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law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one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hand,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and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addressing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ongoing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challenges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posed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by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international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accounting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standards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re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garding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preparation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consolidated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financial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statements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on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r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4CC8" w:rsidRPr="00B27B79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other.</w:t>
                      </w:r>
                    </w:p>
                    <w:p w:rsidR="005F4CC8" w:rsidRPr="00F15C24" w:rsidRDefault="005F4CC8" w:rsidP="005F4CC8">
                      <w:pPr>
                        <w:rPr>
                          <w:rFonts w:ascii="Sakkal Majalla" w:hAnsi="Sakkal Majalla" w:cs="Sakkal Majalla"/>
                          <w:kern w:val="24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15C24">
                        <w:rPr>
                          <w:rFonts w:asciiTheme="majorBidi" w:hAnsiTheme="majorBidi" w:cstheme="majorBidi"/>
                          <w:b/>
                          <w:bCs/>
                          <w:kern w:val="24"/>
                          <w:sz w:val="28"/>
                          <w:szCs w:val="28"/>
                          <w:lang w:bidi="ar-DZ"/>
                        </w:rPr>
                        <w:t>Key</w:t>
                      </w:r>
                      <w:r w:rsidR="009B27EF">
                        <w:rPr>
                          <w:rFonts w:asciiTheme="majorBidi" w:hAnsiTheme="majorBidi" w:cstheme="majorBidi"/>
                          <w:b/>
                          <w:bCs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F15C24">
                        <w:rPr>
                          <w:rFonts w:asciiTheme="majorBidi" w:hAnsiTheme="majorBidi" w:cstheme="majorBidi"/>
                          <w:b/>
                          <w:bCs/>
                          <w:kern w:val="24"/>
                          <w:sz w:val="28"/>
                          <w:szCs w:val="28"/>
                          <w:lang w:bidi="ar-DZ"/>
                        </w:rPr>
                        <w:t>Word</w:t>
                      </w:r>
                      <w:r w:rsidR="009B27EF">
                        <w:rPr>
                          <w:rFonts w:asciiTheme="majorBidi" w:hAnsiTheme="majorBidi" w:cstheme="majorBidi"/>
                          <w:b/>
                          <w:bCs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F15C24">
                        <w:rPr>
                          <w:rFonts w:asciiTheme="majorBidi" w:hAnsiTheme="majorBidi" w:cstheme="majorBidi"/>
                          <w:b/>
                          <w:bCs/>
                          <w:kern w:val="24"/>
                          <w:sz w:val="28"/>
                          <w:szCs w:val="28"/>
                          <w:lang w:bidi="ar-DZ"/>
                        </w:rPr>
                        <w:t>:</w:t>
                      </w:r>
                      <w:r w:rsidR="009B27EF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F15C24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consolidation,</w:t>
                      </w:r>
                      <w:r w:rsidR="009B27EF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F15C24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Consolidated</w:t>
                      </w:r>
                      <w:r w:rsidR="009B27EF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F15C24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financial</w:t>
                      </w:r>
                      <w:r w:rsidR="009B27EF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7D3373">
                        <w:rPr>
                          <w:rFonts w:asciiTheme="majorBidi" w:hAnsiTheme="majorBidi" w:cstheme="majorBidi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statements</w:t>
                      </w:r>
                      <w:r w:rsidRPr="00F15C24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,</w:t>
                      </w:r>
                      <w:r w:rsidR="009B27EF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Groups</w:t>
                      </w:r>
                      <w:r w:rsidRPr="00F15C24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,</w:t>
                      </w:r>
                      <w:r w:rsidR="009B27EF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F15C24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Pare</w:t>
                      </w:r>
                      <w:r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nt</w:t>
                      </w:r>
                      <w:r w:rsidR="009B27EF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company,</w:t>
                      </w:r>
                      <w:r w:rsidR="009B27EF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Subsidiaries</w:t>
                      </w:r>
                      <w:r w:rsidRPr="00F15C24">
                        <w:rPr>
                          <w:rFonts w:asciiTheme="majorBidi" w:hAnsiTheme="majorBidi" w:cstheme="majorBidi"/>
                          <w:kern w:val="24"/>
                          <w:sz w:val="28"/>
                          <w:szCs w:val="28"/>
                          <w:lang w:bidi="ar-DZ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9685C" w:rsidSect="002550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84"/>
    <w:rsid w:val="0009685C"/>
    <w:rsid w:val="00255036"/>
    <w:rsid w:val="005F4CC8"/>
    <w:rsid w:val="008F3621"/>
    <w:rsid w:val="009B27EF"/>
    <w:rsid w:val="00DB2F8C"/>
    <w:rsid w:val="00E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7EACC-E4B3-4573-9B08-7FA7ECCD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2025-07-14T00:21:00Z</dcterms:created>
  <dcterms:modified xsi:type="dcterms:W3CDTF">2025-07-14T00:56:00Z</dcterms:modified>
</cp:coreProperties>
</file>