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0D" w:rsidRDefault="0081720E" w:rsidP="003F150D">
      <w:pPr>
        <w:spacing w:after="0" w:line="276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noProof/>
          <w:sz w:val="24"/>
          <w:szCs w:val="24"/>
        </w:rPr>
        <w:pict>
          <v:rect id="Rectangle 1976263197" o:spid="_x0000_s1027" style="position:absolute;left:0;text-align:left;margin-left:11.65pt;margin-top:8.3pt;width:571.35pt;height:818.2pt;z-index:251663360;visibility:visible;mso-wrap-distance-top:9pt;mso-wrap-distance-bottom:9pt;mso-position-horizontal-relative:page;mso-position-vertical-relative:page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03APBAIAABoEAAAOAAAAZHJzL2Uyb0RvYy54bWysU9uO0zAQfUfiH6x5p0mjbWGjuiu0&#10;yyKkFVRa+ADXsRNLvjHjNunfIztdWuAFIV6cGc3xmTPHmc3d5Cw7KiQTPIflogamvAyd8T2Hb18f&#10;37wDRkn4TtjgFYeTIrjbvn61GWOrmjAE2ylkk7Oe2jFyGFKKbVWRHJQTtAhR+clZHdCJRIuAfdWh&#10;GI3vna2aul5XY8AuYpCKyPj+YS7CtvBrrWT6ojWpxCyHGlgqJ5ZzX85quxFtjyIORp51iH+Q4YTx&#10;cEX1IJJgBzR/UDkjMVDQaSGDq4LWRqoyRNXUy/q3cZ4HEVUZhtqR4k+f6P/Rys/H57hDVmXLqKW4&#10;wzzGpNHlb9CaTcWo08UuNSUmJw5vm9V6ebMCJk8clvVNs67XK8hU1YUhIqWPKjiWAw6oZCpGieMT&#10;pTP2BZM7+vBorM0F0VrPRg63qyb3EJGDtiIBky52HMj3hYiCNV2+k28Q9vt7i+woLId3q6au718E&#10;/YLLHR8EDTOwlApOtBgOvpvbD0p0H3zH0ikqDj54BVkPOWBW+TkoOpMw9i+AVZ5ou6kuRucoTfsp&#10;98vxPnSnHTKK8tEgpSdBaSdQcFgCGzE7QN8PAhUw+8kTh9vlTfYmXSd4neyvE+HlEJCDTAhsTu5T&#10;WYbZ+PeHFLSZH+Wi5ix4pFje9bwr+Qe/zgvqstLbHwAAAP//AwBQSwMEFAAGAAgAAAAhAPhXIC/j&#10;AAAAEQEAAA8AAABkcnMvZG93bnJldi54bWxMj0tugzAUAPeVegfrRcquGIJwKcFE/aitFKmLJjmA&#10;gVdAtZ8RNsG9fcWq3c5oFlMegtHsipMbLElIohgYUmPbgToJl/PrXQ7MeUWt0pZQwg86OFS3N6Uq&#10;WrvQJ15PvmPBaHKFktB7Pxacu6ZHo1xkR6Rg9JedjPIuslPH20ktA3VG810cC27UQMBcr0Z87rH5&#10;Ps1GwryI/HJPdcgwfXo74tm/f0wPUm434WW/3YTHPTCPwf8VsD5ISKAqVVHbmVrHtIRdmgLzEhIh&#10;gK0+ESIGVq8kyzNgvCr5/5PqFwAA//8DAFBLAQItABQABgAIAAAAIQBaIpOj/wAAAOUBAAATAAAA&#10;AAAAAAAAAAAAAAAAAABbQ29udGVudF9UeXBlc10ueG1sUEsBAi0AFAAGAAgAAAAhAKdKzzjYAAAA&#10;lgEAAAsAAAAAAAAAAAAAAAAAMAEAAF9yZWxzLy5yZWxzUEsBAi0AFAAGAAgAAAAhAK3TcA8EAgAA&#10;GgQAAA4AAAAAAAAAAAAAAAAAMQIAAGRycy9lMm9Eb2MueG1sUEsBAi0AFAAGAAgAAAAhAPhXIC/j&#10;AAAAEQEAAA8AAAAAAAAAAAAAAAAAYQQAAGRycy9kb3ducmV2LnhtbFBLBQYAAAAABAAEAPMAAABx&#10;BQAAAABBQUFBQUFZUVFBQUdSeWN5OWtiM2==&#10;" filled="f" strokecolor="#85200c">
            <v:stroke startarrowwidth="narrow" startarrowlength="short" endarrowwidth="narrow" endarrowlength="short" joinstyle="round"/>
            <v:textbox inset="2.53958mm,2.53958mm,2.53958mm,2.53958mm">
              <w:txbxContent>
                <w:p w:rsidR="003F150D" w:rsidRPr="003F150D" w:rsidRDefault="003F150D" w:rsidP="003F150D">
                  <w:pPr>
                    <w:textDirection w:val="btL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r w:rsidR="00CF1993">
                    <w:rPr>
                      <w:lang w:val="en-US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3F150D">
        <w:rPr>
          <w:rFonts w:ascii="Times" w:eastAsia="Times" w:hAnsi="Times" w:cs="Times"/>
          <w:b/>
          <w:sz w:val="24"/>
          <w:szCs w:val="24"/>
        </w:rPr>
        <w:t>République Algérienne Démocratique et Populaire</w:t>
      </w:r>
    </w:p>
    <w:p w:rsidR="003F150D" w:rsidRDefault="003F150D" w:rsidP="003F150D">
      <w:pPr>
        <w:bidi/>
        <w:spacing w:after="0" w:line="276" w:lineRule="auto"/>
        <w:jc w:val="center"/>
        <w:rPr>
          <w:rFonts w:ascii="Times" w:eastAsia="Times" w:hAnsi="Times" w:cs="Times"/>
          <w:b/>
          <w:sz w:val="24"/>
          <w:szCs w:val="24"/>
        </w:rPr>
      </w:pPr>
      <w:proofErr w:type="gramStart"/>
      <w:r>
        <w:rPr>
          <w:rFonts w:ascii="Times" w:eastAsia="Times" w:hAnsi="Times" w:cs="Times"/>
          <w:b/>
          <w:sz w:val="24"/>
          <w:szCs w:val="24"/>
          <w:rtl/>
        </w:rPr>
        <w:t>وزارة</w:t>
      </w:r>
      <w:proofErr w:type="gramEnd"/>
      <w:r>
        <w:rPr>
          <w:rFonts w:ascii="Times" w:eastAsia="Times" w:hAnsi="Times" w:cs="Times"/>
          <w:b/>
          <w:sz w:val="24"/>
          <w:szCs w:val="24"/>
          <w:rtl/>
        </w:rPr>
        <w:t xml:space="preserve"> التعليم العالي والبحث العلمي</w:t>
      </w:r>
    </w:p>
    <w:p w:rsidR="003F150D" w:rsidRDefault="003F150D" w:rsidP="003F150D">
      <w:pPr>
        <w:bidi/>
        <w:spacing w:after="0" w:line="276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Ministère de l’enseignement supérieur et de la recherche scientifique</w:t>
      </w:r>
    </w:p>
    <w:p w:rsidR="003F150D" w:rsidRDefault="003F150D" w:rsidP="003F150D">
      <w:pPr>
        <w:spacing w:line="360" w:lineRule="auto"/>
        <w:jc w:val="center"/>
        <w:rPr>
          <w:rFonts w:ascii="Times" w:eastAsia="Times" w:hAnsi="Times" w:cs="Times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4960620</wp:posOffset>
            </wp:positionH>
            <wp:positionV relativeFrom="paragraph">
              <wp:posOffset>145838</wp:posOffset>
            </wp:positionV>
            <wp:extent cx="1504950" cy="1228725"/>
            <wp:effectExtent l="0" t="0" r="0" b="0"/>
            <wp:wrapSquare wrapText="bothSides" distT="0" distB="0" distL="114300" distR="114300"/>
            <wp:docPr id="1976263316" name="image103.png" descr="Incubateur - UF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3.png" descr="Incubateur - UFA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16512</wp:posOffset>
            </wp:positionH>
            <wp:positionV relativeFrom="paragraph">
              <wp:posOffset>214207</wp:posOffset>
            </wp:positionV>
            <wp:extent cx="1930400" cy="1133475"/>
            <wp:effectExtent l="0" t="0" r="0" b="0"/>
            <wp:wrapSquare wrapText="bothSides" distT="0" distB="0" distL="114300" distR="114300"/>
            <wp:docPr id="1976263291" name="image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F150D" w:rsidRDefault="003F150D" w:rsidP="003F150D">
      <w:pPr>
        <w:tabs>
          <w:tab w:val="center" w:pos="4513"/>
          <w:tab w:val="left" w:pos="6388"/>
        </w:tabs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</w:p>
    <w:p w:rsidR="003F150D" w:rsidRDefault="003F150D" w:rsidP="003F150D">
      <w:pPr>
        <w:tabs>
          <w:tab w:val="center" w:pos="4513"/>
          <w:tab w:val="left" w:pos="6388"/>
        </w:tabs>
        <w:rPr>
          <w:rFonts w:ascii="Times" w:eastAsia="Times" w:hAnsi="Times" w:cs="Times"/>
          <w:sz w:val="24"/>
          <w:szCs w:val="24"/>
        </w:rPr>
      </w:pPr>
    </w:p>
    <w:p w:rsidR="003F150D" w:rsidRDefault="003F150D" w:rsidP="003F150D">
      <w:pPr>
        <w:tabs>
          <w:tab w:val="center" w:pos="4513"/>
          <w:tab w:val="left" w:pos="6388"/>
        </w:tabs>
        <w:rPr>
          <w:rFonts w:ascii="Times" w:eastAsia="Times" w:hAnsi="Times" w:cs="Times"/>
          <w:sz w:val="24"/>
          <w:szCs w:val="24"/>
        </w:rPr>
      </w:pP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</w:p>
    <w:p w:rsidR="003F150D" w:rsidRDefault="003F150D" w:rsidP="003F150D">
      <w:pPr>
        <w:spacing w:after="0" w:line="360" w:lineRule="auto"/>
        <w:ind w:left="-284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Université Sétif -1- Ferhat ABBAS</w:t>
      </w:r>
    </w:p>
    <w:p w:rsidR="003F150D" w:rsidRDefault="003F150D" w:rsidP="003F150D">
      <w:pPr>
        <w:spacing w:after="0" w:line="36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Faculté des Sciences</w:t>
      </w:r>
    </w:p>
    <w:p w:rsidR="003F150D" w:rsidRDefault="003F150D" w:rsidP="003F150D">
      <w:pPr>
        <w:spacing w:after="0" w:line="36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Département de chimie</w:t>
      </w:r>
    </w:p>
    <w:p w:rsidR="003F150D" w:rsidRDefault="003F150D" w:rsidP="003F150D">
      <w:pPr>
        <w:spacing w:after="0" w:line="36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Mémoire présenté en vue de l’obtention de diplôme de Master </w:t>
      </w:r>
    </w:p>
    <w:p w:rsidR="003F150D" w:rsidRDefault="003F150D" w:rsidP="003F150D">
      <w:pPr>
        <w:spacing w:after="0" w:line="36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Et de l’obtention de diplôme Startup - Brevet dans le </w:t>
      </w:r>
    </w:p>
    <w:p w:rsidR="003F150D" w:rsidRDefault="003F150D" w:rsidP="003F150D">
      <w:pPr>
        <w:spacing w:after="0" w:line="36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Cadre de l’arrêté ministériel 1275</w:t>
      </w:r>
    </w:p>
    <w:p w:rsidR="003F150D" w:rsidRDefault="003F150D" w:rsidP="003F150D">
      <w:pPr>
        <w:tabs>
          <w:tab w:val="left" w:pos="912"/>
        </w:tabs>
        <w:spacing w:after="0" w:line="36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DOMAINE 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:Sciences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de la matière</w:t>
      </w:r>
    </w:p>
    <w:p w:rsidR="003F150D" w:rsidRDefault="003F150D" w:rsidP="003F150D">
      <w:pPr>
        <w:tabs>
          <w:tab w:val="left" w:pos="912"/>
        </w:tabs>
        <w:spacing w:after="0" w:line="36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FILIÈRE : Chimie</w:t>
      </w:r>
    </w:p>
    <w:p w:rsidR="003F150D" w:rsidRDefault="003F150D" w:rsidP="003F150D">
      <w:pPr>
        <w:tabs>
          <w:tab w:val="left" w:pos="912"/>
        </w:tabs>
        <w:spacing w:after="0" w:line="36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SPÉCIALITÉ : Chimie pharmaceutique</w:t>
      </w:r>
    </w:p>
    <w:p w:rsidR="003F150D" w:rsidRDefault="003F150D" w:rsidP="003F150D">
      <w:pPr>
        <w:tabs>
          <w:tab w:val="left" w:pos="3876"/>
        </w:tabs>
        <w:spacing w:after="0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  <w:u w:val="single"/>
        </w:rPr>
        <w:t>Thème</w:t>
      </w:r>
      <w:r>
        <w:rPr>
          <w:rFonts w:ascii="Times" w:eastAsia="Times" w:hAnsi="Times" w:cs="Times"/>
          <w:b/>
          <w:sz w:val="28"/>
          <w:szCs w:val="28"/>
        </w:rPr>
        <w:t> :</w:t>
      </w:r>
    </w:p>
    <w:p w:rsidR="003F150D" w:rsidRDefault="0081720E" w:rsidP="003F1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 w:rsidRPr="0081720E">
        <w:rPr>
          <w:noProof/>
        </w:rPr>
        <w:pict>
          <v:roundrect id="Rectangle : coins arrondis 1976263207" o:spid="_x0000_s1026" style="position:absolute;left:0;text-align:left;margin-left:18pt;margin-top:3pt;width:484.15pt;height:69.05pt;z-index:251662336;visibility:visible;v-text-anchor:middle" arcsize="10923f" filled="f" strokecolor="#833c0b" strokeweight="2.25pt">
            <v:stroke startarrowwidth="narrow" startarrowlength="short" endarrowwidth="narrow" endarrowlength="short" joinstyle="miter"/>
            <v:textbox inset="2.53958mm,2.53958mm,2.53958mm,2.53958mm">
              <w:txbxContent>
                <w:p w:rsidR="003F150D" w:rsidRDefault="003F150D" w:rsidP="003F150D">
                  <w:pPr>
                    <w:spacing w:after="0" w:line="360" w:lineRule="auto"/>
                    <w:jc w:val="center"/>
                    <w:textDirection w:val="btLr"/>
                  </w:pPr>
                  <w:r>
                    <w:rPr>
                      <w:rFonts w:ascii="Times" w:eastAsia="Times" w:hAnsi="Times" w:cs="Times"/>
                      <w:b/>
                      <w:color w:val="000000"/>
                      <w:sz w:val="32"/>
                    </w:rPr>
                    <w:t xml:space="preserve">Étude générale de </w:t>
                  </w:r>
                  <w:proofErr w:type="spellStart"/>
                  <w:r>
                    <w:rPr>
                      <w:rFonts w:ascii="Times" w:eastAsia="Times" w:hAnsi="Times" w:cs="Times"/>
                      <w:b/>
                      <w:color w:val="000000"/>
                      <w:sz w:val="32"/>
                    </w:rPr>
                    <w:t>Linum</w:t>
                  </w:r>
                  <w:proofErr w:type="spellEnd"/>
                  <w:r>
                    <w:rPr>
                      <w:rFonts w:ascii="Times" w:eastAsia="Times" w:hAnsi="Times" w:cs="Times"/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Times" w:eastAsia="Times" w:hAnsi="Times" w:cs="Times"/>
                      <w:b/>
                      <w:color w:val="000000"/>
                      <w:sz w:val="32"/>
                    </w:rPr>
                    <w:t>Usitatissimum</w:t>
                  </w:r>
                  <w:proofErr w:type="spellEnd"/>
                  <w:r>
                    <w:rPr>
                      <w:rFonts w:ascii="Times" w:eastAsia="Times" w:hAnsi="Times" w:cs="Times"/>
                      <w:b/>
                      <w:color w:val="000000"/>
                      <w:sz w:val="32"/>
                    </w:rPr>
                    <w:t xml:space="preserve"> et Élaboration d'une pommade anti-acné à base de bêta-sitostérol</w:t>
                  </w:r>
                </w:p>
              </w:txbxContent>
            </v:textbox>
          </v:roundrect>
        </w:pict>
      </w: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8"/>
          <w:szCs w:val="28"/>
        </w:rPr>
      </w:pP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Présenté par : </w:t>
      </w:r>
      <w:r>
        <w:rPr>
          <w:rFonts w:ascii="Times" w:eastAsia="Times" w:hAnsi="Times" w:cs="Times"/>
          <w:b/>
          <w:color w:val="000000"/>
          <w:sz w:val="28"/>
          <w:szCs w:val="28"/>
        </w:rPr>
        <w:tab/>
      </w:r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Encadrée par : </w:t>
      </w:r>
    </w:p>
    <w:p w:rsidR="003F150D" w:rsidRDefault="003F150D" w:rsidP="003F150D">
      <w:pPr>
        <w:tabs>
          <w:tab w:val="left" w:pos="936"/>
        </w:tabs>
        <w:spacing w:after="0" w:line="276" w:lineRule="auto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 xml:space="preserve">     -  OUCHOUCHE </w:t>
      </w:r>
      <w:proofErr w:type="spellStart"/>
      <w:r>
        <w:rPr>
          <w:rFonts w:ascii="Times" w:eastAsia="Times" w:hAnsi="Times" w:cs="Times"/>
          <w:sz w:val="26"/>
          <w:szCs w:val="26"/>
        </w:rPr>
        <w:t>Oumaima</w:t>
      </w:r>
      <w:proofErr w:type="spellEnd"/>
      <w:r>
        <w:rPr>
          <w:rFonts w:ascii="Times" w:eastAsia="Times" w:hAnsi="Times" w:cs="Times"/>
          <w:sz w:val="26"/>
          <w:szCs w:val="26"/>
        </w:rPr>
        <w:t xml:space="preserve">                                            -    Dr. MESSASMA Zakia</w:t>
      </w: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" w:eastAsia="Times" w:hAnsi="Times" w:cs="Times"/>
          <w:color w:val="000000"/>
          <w:sz w:val="26"/>
          <w:szCs w:val="26"/>
        </w:rPr>
      </w:pPr>
      <w:r>
        <w:rPr>
          <w:rFonts w:ascii="Times" w:eastAsia="Times" w:hAnsi="Times" w:cs="Times"/>
          <w:color w:val="000000"/>
          <w:sz w:val="26"/>
          <w:szCs w:val="26"/>
        </w:rPr>
        <w:t xml:space="preserve">     -  GOURIDI </w:t>
      </w:r>
      <w:proofErr w:type="spellStart"/>
      <w:r>
        <w:rPr>
          <w:rFonts w:ascii="Times" w:eastAsia="Times" w:hAnsi="Times" w:cs="Times"/>
          <w:sz w:val="26"/>
          <w:szCs w:val="26"/>
        </w:rPr>
        <w:t>R</w:t>
      </w:r>
      <w:r>
        <w:rPr>
          <w:rFonts w:ascii="Times" w:eastAsia="Times" w:hAnsi="Times" w:cs="Times"/>
          <w:color w:val="000000"/>
          <w:sz w:val="26"/>
          <w:szCs w:val="26"/>
        </w:rPr>
        <w:t>ania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                                                         </w:t>
      </w: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" w:eastAsia="Times" w:hAnsi="Times" w:cs="Times"/>
          <w:color w:val="000000"/>
          <w:sz w:val="26"/>
          <w:szCs w:val="26"/>
        </w:rPr>
      </w:pPr>
      <w:r>
        <w:rPr>
          <w:rFonts w:ascii="Times" w:eastAsia="Times" w:hAnsi="Times" w:cs="Times"/>
          <w:color w:val="000000"/>
          <w:sz w:val="26"/>
          <w:szCs w:val="26"/>
        </w:rPr>
        <w:t xml:space="preserve">     - 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B</w:t>
      </w:r>
      <w:r>
        <w:rPr>
          <w:rFonts w:ascii="Times" w:eastAsia="Times" w:hAnsi="Times" w:cs="Times"/>
          <w:sz w:val="26"/>
          <w:szCs w:val="26"/>
        </w:rPr>
        <w:t>ENOUADFELAchouak</w:t>
      </w:r>
      <w:proofErr w:type="spellEnd"/>
      <w:r>
        <w:rPr>
          <w:rFonts w:ascii="Times" w:eastAsia="Times" w:hAnsi="Times" w:cs="Times"/>
          <w:sz w:val="26"/>
          <w:szCs w:val="26"/>
        </w:rPr>
        <w:t>-    Dr. ROUABHI Tarek</w:t>
      </w: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" w:eastAsia="Times" w:hAnsi="Times" w:cs="Times"/>
          <w:color w:val="000000"/>
          <w:sz w:val="26"/>
          <w:szCs w:val="26"/>
        </w:rPr>
      </w:pPr>
      <w:r>
        <w:rPr>
          <w:rFonts w:ascii="Times" w:eastAsia="Times" w:hAnsi="Times" w:cs="Times"/>
          <w:color w:val="000000"/>
          <w:sz w:val="26"/>
          <w:szCs w:val="26"/>
        </w:rPr>
        <w:t xml:space="preserve">     - 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G</w:t>
      </w:r>
      <w:r>
        <w:rPr>
          <w:rFonts w:ascii="Times" w:eastAsia="Times" w:hAnsi="Times" w:cs="Times"/>
          <w:sz w:val="26"/>
          <w:szCs w:val="26"/>
        </w:rPr>
        <w:t>HOZLIM</w:t>
      </w:r>
      <w:r>
        <w:rPr>
          <w:rFonts w:ascii="Times" w:eastAsia="Times" w:hAnsi="Times" w:cs="Times"/>
          <w:color w:val="000000"/>
          <w:sz w:val="26"/>
          <w:szCs w:val="26"/>
        </w:rPr>
        <w:t>eriem</w:t>
      </w:r>
      <w:proofErr w:type="spellEnd"/>
      <w:r>
        <w:rPr>
          <w:rFonts w:ascii="Times" w:eastAsia="Times" w:hAnsi="Times" w:cs="Times"/>
          <w:color w:val="000000"/>
          <w:sz w:val="26"/>
          <w:szCs w:val="26"/>
        </w:rPr>
        <w:t xml:space="preserve"> </w:t>
      </w: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" w:eastAsia="Times" w:hAnsi="Times" w:cs="Times"/>
          <w:color w:val="000000"/>
          <w:sz w:val="26"/>
          <w:szCs w:val="26"/>
        </w:rPr>
      </w:pPr>
      <w:r>
        <w:rPr>
          <w:rFonts w:ascii="Times" w:eastAsia="Times" w:hAnsi="Times" w:cs="Times"/>
          <w:color w:val="000000"/>
          <w:sz w:val="26"/>
          <w:szCs w:val="26"/>
        </w:rPr>
        <w:t xml:space="preserve">     -  F</w:t>
      </w:r>
      <w:r>
        <w:rPr>
          <w:rFonts w:ascii="Times" w:eastAsia="Times" w:hAnsi="Times" w:cs="Times"/>
          <w:sz w:val="26"/>
          <w:szCs w:val="26"/>
        </w:rPr>
        <w:t>ARES</w:t>
      </w:r>
      <w:r>
        <w:rPr>
          <w:rFonts w:ascii="Times" w:eastAsia="Times" w:hAnsi="Times" w:cs="Times"/>
          <w:color w:val="000000"/>
          <w:sz w:val="26"/>
          <w:szCs w:val="26"/>
        </w:rPr>
        <w:t xml:space="preserve"> Mohammed </w:t>
      </w:r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" w:eastAsia="Times" w:hAnsi="Times" w:cs="Times"/>
          <w:color w:val="000000"/>
          <w:sz w:val="26"/>
          <w:szCs w:val="26"/>
        </w:rPr>
      </w:pPr>
      <w:r>
        <w:rPr>
          <w:rFonts w:ascii="Times" w:eastAsia="Times" w:hAnsi="Times" w:cs="Times"/>
          <w:color w:val="000000"/>
          <w:sz w:val="26"/>
          <w:szCs w:val="26"/>
        </w:rPr>
        <w:t xml:space="preserve">     -  </w:t>
      </w:r>
      <w:proofErr w:type="spellStart"/>
      <w:r>
        <w:rPr>
          <w:rFonts w:ascii="Times" w:eastAsia="Times" w:hAnsi="Times" w:cs="Times"/>
          <w:color w:val="000000"/>
          <w:sz w:val="26"/>
          <w:szCs w:val="26"/>
        </w:rPr>
        <w:t>M</w:t>
      </w:r>
      <w:r>
        <w:rPr>
          <w:rFonts w:ascii="Times" w:eastAsia="Times" w:hAnsi="Times" w:cs="Times"/>
          <w:sz w:val="26"/>
          <w:szCs w:val="26"/>
        </w:rPr>
        <w:t>ESSILIA</w:t>
      </w:r>
      <w:r>
        <w:rPr>
          <w:rFonts w:ascii="Times" w:eastAsia="Times" w:hAnsi="Times" w:cs="Times"/>
          <w:color w:val="000000"/>
          <w:sz w:val="26"/>
          <w:szCs w:val="26"/>
        </w:rPr>
        <w:t>ymen</w:t>
      </w:r>
      <w:proofErr w:type="spellEnd"/>
    </w:p>
    <w:p w:rsidR="003F150D" w:rsidRDefault="003F150D" w:rsidP="003F1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color w:val="000000"/>
          <w:sz w:val="14"/>
          <w:szCs w:val="14"/>
        </w:rPr>
      </w:pPr>
    </w:p>
    <w:p w:rsidR="003F150D" w:rsidRDefault="003F150D" w:rsidP="003F150D">
      <w:pPr>
        <w:widowControl w:val="0"/>
        <w:spacing w:after="0"/>
        <w:ind w:right="561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Devant le jury composé de</w:t>
      </w:r>
      <w:r>
        <w:rPr>
          <w:rFonts w:ascii="Times" w:eastAsia="Times" w:hAnsi="Times" w:cs="Times"/>
          <w:sz w:val="24"/>
          <w:szCs w:val="24"/>
        </w:rPr>
        <w:t xml:space="preserve"> :</w:t>
      </w:r>
    </w:p>
    <w:p w:rsidR="003F150D" w:rsidRDefault="003F150D" w:rsidP="003F150D">
      <w:pPr>
        <w:spacing w:after="0" w:line="240" w:lineRule="auto"/>
        <w:jc w:val="center"/>
        <w:rPr>
          <w:rFonts w:ascii="Times" w:eastAsia="Times" w:hAnsi="Times" w:cs="Times"/>
          <w:sz w:val="28"/>
          <w:szCs w:val="28"/>
        </w:rPr>
      </w:pPr>
    </w:p>
    <w:tbl>
      <w:tblPr>
        <w:tblpPr w:leftFromText="180" w:rightFromText="180" w:topFromText="180" w:bottomFromText="180" w:vertAnchor="text" w:tblpX="30"/>
        <w:tblW w:w="10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119"/>
        <w:gridCol w:w="1843"/>
        <w:gridCol w:w="3969"/>
        <w:gridCol w:w="1984"/>
      </w:tblGrid>
      <w:tr w:rsidR="003F150D" w:rsidTr="00833884">
        <w:trPr>
          <w:tblHeader/>
        </w:trPr>
        <w:tc>
          <w:tcPr>
            <w:tcW w:w="3119" w:type="dxa"/>
          </w:tcPr>
          <w:p w:rsidR="003F150D" w:rsidRDefault="003F150D" w:rsidP="00833884">
            <w:pPr>
              <w:widowControl w:val="0"/>
              <w:spacing w:line="360" w:lineRule="auto"/>
              <w:ind w:right="33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-  LEKHMISSI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Kaaboub</w:t>
            </w:r>
            <w:proofErr w:type="spellEnd"/>
          </w:p>
        </w:tc>
        <w:tc>
          <w:tcPr>
            <w:tcW w:w="1843" w:type="dxa"/>
          </w:tcPr>
          <w:p w:rsidR="003F150D" w:rsidRDefault="003F150D" w:rsidP="00833884">
            <w:pPr>
              <w:widowControl w:val="0"/>
              <w:spacing w:line="360" w:lineRule="auto"/>
              <w:ind w:right="561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Professeur </w:t>
            </w:r>
          </w:p>
        </w:tc>
        <w:tc>
          <w:tcPr>
            <w:tcW w:w="3969" w:type="dxa"/>
          </w:tcPr>
          <w:p w:rsidR="003F150D" w:rsidRDefault="003F150D" w:rsidP="00833884">
            <w:pPr>
              <w:widowControl w:val="0"/>
              <w:spacing w:line="360" w:lineRule="auto"/>
              <w:ind w:right="561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 Université Ferhat ABBAS Sétif -1</w:t>
            </w:r>
          </w:p>
        </w:tc>
        <w:tc>
          <w:tcPr>
            <w:tcW w:w="1984" w:type="dxa"/>
          </w:tcPr>
          <w:p w:rsidR="003F150D" w:rsidRDefault="003F150D" w:rsidP="00833884">
            <w:pPr>
              <w:widowControl w:val="0"/>
              <w:spacing w:line="360" w:lineRule="auto"/>
              <w:ind w:left="33" w:right="56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Président</w:t>
            </w:r>
          </w:p>
        </w:tc>
      </w:tr>
      <w:tr w:rsidR="003F150D" w:rsidTr="00833884">
        <w:tc>
          <w:tcPr>
            <w:tcW w:w="3119" w:type="dxa"/>
          </w:tcPr>
          <w:p w:rsidR="003F150D" w:rsidRDefault="003F150D" w:rsidP="00833884">
            <w:pPr>
              <w:widowControl w:val="0"/>
              <w:spacing w:line="360" w:lineRule="auto"/>
              <w:ind w:right="561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  MESSASMA Zakia</w:t>
            </w:r>
          </w:p>
        </w:tc>
        <w:tc>
          <w:tcPr>
            <w:tcW w:w="1843" w:type="dxa"/>
          </w:tcPr>
          <w:p w:rsidR="003F150D" w:rsidRDefault="003F150D" w:rsidP="00833884">
            <w:pPr>
              <w:widowControl w:val="0"/>
              <w:spacing w:line="360" w:lineRule="auto"/>
              <w:ind w:right="561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MCA  </w:t>
            </w:r>
          </w:p>
        </w:tc>
        <w:tc>
          <w:tcPr>
            <w:tcW w:w="3969" w:type="dxa"/>
          </w:tcPr>
          <w:p w:rsidR="003F150D" w:rsidRDefault="003F150D" w:rsidP="00833884">
            <w:pPr>
              <w:widowControl w:val="0"/>
              <w:spacing w:line="360" w:lineRule="auto"/>
              <w:ind w:right="561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 Université Ferhat ABBAS Sétif-1</w:t>
            </w:r>
          </w:p>
        </w:tc>
        <w:tc>
          <w:tcPr>
            <w:tcW w:w="1984" w:type="dxa"/>
          </w:tcPr>
          <w:p w:rsidR="003F150D" w:rsidRDefault="003F150D" w:rsidP="00833884">
            <w:pPr>
              <w:widowControl w:val="0"/>
              <w:spacing w:line="360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Encadrante</w:t>
            </w:r>
            <w:proofErr w:type="spellEnd"/>
          </w:p>
        </w:tc>
      </w:tr>
      <w:tr w:rsidR="003F150D" w:rsidTr="00833884">
        <w:tc>
          <w:tcPr>
            <w:tcW w:w="3119" w:type="dxa"/>
          </w:tcPr>
          <w:p w:rsidR="003F150D" w:rsidRDefault="003F150D" w:rsidP="00833884">
            <w:pPr>
              <w:widowControl w:val="0"/>
              <w:spacing w:line="360" w:lineRule="auto"/>
              <w:ind w:right="561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-  HAMZA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Djamal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eddine</w:t>
            </w:r>
            <w:proofErr w:type="spellEnd"/>
          </w:p>
        </w:tc>
        <w:tc>
          <w:tcPr>
            <w:tcW w:w="1843" w:type="dxa"/>
          </w:tcPr>
          <w:p w:rsidR="003F150D" w:rsidRDefault="003F150D" w:rsidP="00833884">
            <w:pPr>
              <w:widowControl w:val="0"/>
              <w:spacing w:line="360" w:lineRule="auto"/>
              <w:ind w:right="561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MCA  </w:t>
            </w:r>
          </w:p>
        </w:tc>
        <w:tc>
          <w:tcPr>
            <w:tcW w:w="3969" w:type="dxa"/>
          </w:tcPr>
          <w:p w:rsidR="003F150D" w:rsidRDefault="003F150D" w:rsidP="00833884">
            <w:pPr>
              <w:widowControl w:val="0"/>
              <w:spacing w:line="360" w:lineRule="auto"/>
              <w:ind w:right="561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 Université Ferhat ABBAS Sétif-1</w:t>
            </w:r>
          </w:p>
        </w:tc>
        <w:tc>
          <w:tcPr>
            <w:tcW w:w="1984" w:type="dxa"/>
          </w:tcPr>
          <w:p w:rsidR="003F150D" w:rsidRDefault="003F150D" w:rsidP="00833884">
            <w:pPr>
              <w:widowControl w:val="0"/>
              <w:spacing w:line="360" w:lineRule="auto"/>
              <w:ind w:right="56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Examinateur </w:t>
            </w:r>
          </w:p>
        </w:tc>
      </w:tr>
    </w:tbl>
    <w:p w:rsidR="003F150D" w:rsidRDefault="003F150D" w:rsidP="003F150D">
      <w:pPr>
        <w:tabs>
          <w:tab w:val="left" w:pos="1584"/>
        </w:tabs>
        <w:rPr>
          <w:rFonts w:ascii="Times" w:eastAsia="Times" w:hAnsi="Times" w:cs="Times"/>
          <w:sz w:val="28"/>
          <w:szCs w:val="28"/>
        </w:rPr>
        <w:sectPr w:rsidR="003F150D">
          <w:pgSz w:w="11906" w:h="16838"/>
          <w:pgMar w:top="720" w:right="720" w:bottom="720" w:left="720" w:header="720" w:footer="397" w:gutter="0"/>
          <w:pgNumType w:start="1"/>
          <w:cols w:space="720"/>
        </w:sectPr>
      </w:pPr>
      <w:r>
        <w:rPr>
          <w:rFonts w:ascii="Times" w:eastAsia="Times" w:hAnsi="Times" w:cs="Times"/>
          <w:b/>
          <w:sz w:val="28"/>
          <w:szCs w:val="28"/>
        </w:rPr>
        <w:t xml:space="preserve">                                                  Promotion : 2023-2024</w:t>
      </w:r>
    </w:p>
    <w:p w:rsidR="003F150D" w:rsidRPr="003F150D" w:rsidRDefault="003F150D" w:rsidP="003F150D">
      <w:pPr>
        <w:bidi/>
        <w:spacing w:after="0" w:line="360" w:lineRule="auto"/>
        <w:ind w:left="7920"/>
        <w:jc w:val="both"/>
        <w:rPr>
          <w:rFonts w:ascii="Times" w:eastAsia="Times" w:hAnsi="Times" w:cs="Times"/>
          <w:b/>
          <w:sz w:val="24"/>
          <w:szCs w:val="24"/>
        </w:rPr>
      </w:pPr>
      <w:r w:rsidRPr="003F150D">
        <w:rPr>
          <w:rFonts w:ascii="Times" w:eastAsia="Times" w:hAnsi="Times" w:cs="Times"/>
          <w:b/>
          <w:sz w:val="24"/>
          <w:szCs w:val="24"/>
          <w:rtl/>
          <w:lang w:val="en-US"/>
        </w:rPr>
        <w:lastRenderedPageBreak/>
        <w:t>Résumé</w:t>
      </w:r>
    </w:p>
    <w:p w:rsidR="003F150D" w:rsidRDefault="003F150D" w:rsidP="003F150D">
      <w:pPr>
        <w:spacing w:before="240"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        Ce projet de fin d'études se concentre sur l'extraction d'huile végétale à partir des graines de lin (</w:t>
      </w:r>
      <w:proofErr w:type="spellStart"/>
      <w:r>
        <w:rPr>
          <w:rFonts w:ascii="Times" w:eastAsia="Times" w:hAnsi="Times" w:cs="Times"/>
          <w:i/>
          <w:sz w:val="24"/>
          <w:szCs w:val="24"/>
        </w:rPr>
        <w:t>Linum</w:t>
      </w:r>
      <w:proofErr w:type="spellEnd"/>
      <w:r>
        <w:rPr>
          <w:rFonts w:ascii="Times" w:eastAsia="Times" w:hAnsi="Times" w:cs="Times"/>
          <w:i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sz w:val="24"/>
          <w:szCs w:val="24"/>
        </w:rPr>
        <w:t>usitatissimum</w:t>
      </w:r>
      <w:proofErr w:type="spellEnd"/>
      <w:r>
        <w:rPr>
          <w:rFonts w:ascii="Times" w:eastAsia="Times" w:hAnsi="Times" w:cs="Times"/>
          <w:i/>
          <w:sz w:val="24"/>
          <w:szCs w:val="24"/>
        </w:rPr>
        <w:t xml:space="preserve"> L.</w:t>
      </w:r>
      <w:r>
        <w:rPr>
          <w:rFonts w:ascii="Times" w:eastAsia="Times" w:hAnsi="Times" w:cs="Times"/>
          <w:sz w:val="24"/>
          <w:szCs w:val="24"/>
        </w:rPr>
        <w:t xml:space="preserve">) en utilisant deux méthodes distinctes : la macération à chaud et l'extraction par </w:t>
      </w:r>
      <w:proofErr w:type="spellStart"/>
      <w:r>
        <w:rPr>
          <w:rFonts w:ascii="Times" w:eastAsia="Times" w:hAnsi="Times" w:cs="Times"/>
          <w:sz w:val="24"/>
          <w:szCs w:val="24"/>
        </w:rPr>
        <w:t>Soxhlet</w:t>
      </w:r>
      <w:proofErr w:type="spellEnd"/>
      <w:r>
        <w:rPr>
          <w:rFonts w:ascii="Times" w:eastAsia="Times" w:hAnsi="Times" w:cs="Times"/>
          <w:sz w:val="24"/>
          <w:szCs w:val="24"/>
        </w:rPr>
        <w:t>. Les méthodes ont été comparées en fonction de la composition chimique des extraits obtenus. En étudiant leurs propriétés physico-chimiques et leur potentiel biologique, cette étude a démontré la différence d'efficacité entre les méthodes d'extraction.</w:t>
      </w:r>
    </w:p>
    <w:p w:rsidR="003F150D" w:rsidRDefault="003F150D" w:rsidP="003F150D">
      <w:pPr>
        <w:spacing w:before="240"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         L'analyse de la composition chimique des extraits a révélé que la méthode 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Soxhlet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offrait un rendement d'extraction supérieur, produisant un extrait plus riche en lipides. Le potentiel biologique des huiles extraites a été évalué en termes de propriétés </w:t>
      </w:r>
      <w:proofErr w:type="spellStart"/>
      <w:r>
        <w:rPr>
          <w:rFonts w:ascii="Times" w:eastAsia="Times" w:hAnsi="Times" w:cs="Times"/>
          <w:sz w:val="24"/>
          <w:szCs w:val="24"/>
        </w:rPr>
        <w:t>antioxydantes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, antimicrobiennes et anti-inflammatoires. Les tests ont révélé que les huiles de lin possédaient d'importantes capacités </w:t>
      </w:r>
      <w:proofErr w:type="spellStart"/>
      <w:r>
        <w:rPr>
          <w:rFonts w:ascii="Times" w:eastAsia="Times" w:hAnsi="Times" w:cs="Times"/>
          <w:sz w:val="24"/>
          <w:szCs w:val="24"/>
        </w:rPr>
        <w:t>antioxydantes</w:t>
      </w:r>
      <w:proofErr w:type="spellEnd"/>
      <w:r>
        <w:rPr>
          <w:rFonts w:ascii="Times" w:eastAsia="Times" w:hAnsi="Times" w:cs="Times"/>
          <w:sz w:val="24"/>
          <w:szCs w:val="24"/>
        </w:rPr>
        <w:t>, une activité antimicrobienne contre plusieurs souches microbiennes et une forte activité anti-inflammatoire.</w:t>
      </w:r>
    </w:p>
    <w:p w:rsidR="003F150D" w:rsidRDefault="003F150D" w:rsidP="003F150D">
      <w:pPr>
        <w:spacing w:before="240"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          Un aspect clé de ce projet était la </w:t>
      </w:r>
      <w:r>
        <w:rPr>
          <w:rFonts w:ascii="Times" w:eastAsia="Times" w:hAnsi="Times" w:cs="Times"/>
          <w:b/>
          <w:sz w:val="24"/>
          <w:szCs w:val="24"/>
        </w:rPr>
        <w:t>séparation du bêta-sitostérol</w:t>
      </w:r>
      <w:r>
        <w:rPr>
          <w:rFonts w:ascii="Times" w:eastAsia="Times" w:hAnsi="Times" w:cs="Times"/>
          <w:sz w:val="24"/>
          <w:szCs w:val="24"/>
        </w:rPr>
        <w:t>, un stérol végétal bioactif, de l'huile extraite des graines de lin. Cette séparation a permis d'obtenir un produit purifié, dont les propriétés thérapeutiques ont été explorées, y compris son utilisation dans des formulations cosmétiques.</w:t>
      </w:r>
    </w:p>
    <w:p w:rsidR="003F150D" w:rsidRDefault="003F150D" w:rsidP="003F150D">
      <w:pPr>
        <w:spacing w:before="240"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             De plus, un </w:t>
      </w:r>
      <w:r>
        <w:rPr>
          <w:rFonts w:ascii="Times" w:eastAsia="Times" w:hAnsi="Times" w:cs="Times"/>
          <w:b/>
          <w:sz w:val="24"/>
          <w:szCs w:val="24"/>
        </w:rPr>
        <w:t>onguent anti-acné</w:t>
      </w:r>
      <w:r>
        <w:rPr>
          <w:rFonts w:ascii="Times" w:eastAsia="Times" w:hAnsi="Times" w:cs="Times"/>
          <w:sz w:val="24"/>
          <w:szCs w:val="24"/>
        </w:rPr>
        <w:t xml:space="preserve"> a été formulé à base de bêta-sitostérol, tirant parti de ses propriétés anti-inflammatoires et </w:t>
      </w:r>
      <w:proofErr w:type="spellStart"/>
      <w:r>
        <w:rPr>
          <w:rFonts w:ascii="Times" w:eastAsia="Times" w:hAnsi="Times" w:cs="Times"/>
          <w:sz w:val="24"/>
          <w:szCs w:val="24"/>
        </w:rPr>
        <w:t>antioxydantes</w:t>
      </w:r>
      <w:proofErr w:type="spellEnd"/>
      <w:r>
        <w:rPr>
          <w:rFonts w:ascii="Times" w:eastAsia="Times" w:hAnsi="Times" w:cs="Times"/>
          <w:sz w:val="24"/>
          <w:szCs w:val="24"/>
        </w:rPr>
        <w:t>. Cet onguent a été conçu comme une alternative naturelle aux traitements traditionnels contre l'acné, visant à traiter la peau en douceur tout en minimisant les effets secondaires souvent associés aux traitements chimiques.</w:t>
      </w:r>
    </w:p>
    <w:p w:rsidR="003F150D" w:rsidRDefault="003F150D" w:rsidP="003F150D">
      <w:pPr>
        <w:spacing w:before="240" w:after="24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            En conclusion, ce projet démontre l'efficacité de la méthode 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Soxhlet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pour l'extraction de l'huile de lin par rapport à la décoction, tout en mettant en évidence les propriétés biologiques intéressantes des huiles extraites et le potentiel du bêta-sitostérol dans les applications thérapeutiques. Ces résultats ouvrent des perspectives pour l'utilisation de l'huile de lin dans divers domaines, notamment les cosmétiques, la pharmacologie et l'industrie.</w:t>
      </w:r>
    </w:p>
    <w:p w:rsidR="003F150D" w:rsidRDefault="003F150D" w:rsidP="003F150D">
      <w:pPr>
        <w:spacing w:after="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Mots- clés 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:</w:t>
      </w:r>
      <w:proofErr w:type="spellStart"/>
      <w:r>
        <w:rPr>
          <w:rFonts w:ascii="Times" w:eastAsia="Times" w:hAnsi="Times" w:cs="Times"/>
          <w:i/>
          <w:sz w:val="24"/>
          <w:szCs w:val="24"/>
        </w:rPr>
        <w:t>Linum</w:t>
      </w:r>
      <w:proofErr w:type="spellEnd"/>
      <w:proofErr w:type="gramEnd"/>
      <w:r>
        <w:rPr>
          <w:rFonts w:ascii="Times" w:eastAsia="Times" w:hAnsi="Times" w:cs="Times"/>
          <w:i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sz w:val="24"/>
          <w:szCs w:val="24"/>
        </w:rPr>
        <w:t>usitatissimum</w:t>
      </w:r>
      <w:proofErr w:type="spellEnd"/>
      <w:r>
        <w:rPr>
          <w:rFonts w:ascii="Times" w:eastAsia="Times" w:hAnsi="Times" w:cs="Times"/>
          <w:i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L</w:t>
      </w:r>
      <w:r>
        <w:rPr>
          <w:rFonts w:ascii="Times" w:eastAsia="Times" w:hAnsi="Times" w:cs="Times"/>
          <w:i/>
          <w:sz w:val="24"/>
          <w:szCs w:val="24"/>
        </w:rPr>
        <w:t>.</w:t>
      </w:r>
      <w:r>
        <w:rPr>
          <w:rFonts w:ascii="Times" w:eastAsia="Times" w:hAnsi="Times" w:cs="Times"/>
          <w:sz w:val="24"/>
          <w:szCs w:val="24"/>
        </w:rPr>
        <w:t xml:space="preserve">, activité </w:t>
      </w:r>
      <w:proofErr w:type="spellStart"/>
      <w:r>
        <w:rPr>
          <w:rFonts w:ascii="Times" w:eastAsia="Times" w:hAnsi="Times" w:cs="Times"/>
          <w:sz w:val="24"/>
          <w:szCs w:val="24"/>
        </w:rPr>
        <w:t>antioxydante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, activité antimicrobienne, activité </w:t>
      </w:r>
    </w:p>
    <w:p w:rsidR="003F150D" w:rsidRDefault="003F150D" w:rsidP="003F150D">
      <w:pPr>
        <w:spacing w:after="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Anti-inflammatoire.</w:t>
      </w:r>
    </w:p>
    <w:p w:rsidR="003F150D" w:rsidRDefault="003F150D" w:rsidP="003F150D">
      <w:pPr>
        <w:spacing w:after="0" w:line="360" w:lineRule="auto"/>
        <w:jc w:val="both"/>
        <w:rPr>
          <w:rFonts w:ascii="Times" w:eastAsia="Times" w:hAnsi="Times" w:cs="Times"/>
          <w:sz w:val="24"/>
          <w:szCs w:val="24"/>
          <w:u w:val="single"/>
        </w:rPr>
      </w:pPr>
    </w:p>
    <w:p w:rsidR="003F150D" w:rsidRDefault="003F150D"/>
    <w:sdt>
      <w:sdtPr>
        <w:id w:val="-91399947"/>
        <w:docPartObj>
          <w:docPartGallery w:val="Table of Contents"/>
          <w:docPartUnique/>
        </w:docPartObj>
      </w:sdtPr>
      <w:sdtContent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fldChar w:fldCharType="begin"/>
          </w:r>
          <w:r w:rsidR="003F150D">
            <w:instrText xml:space="preserve"> TOC \h \u \z \t "Heading 1,1,Heading 2,2,Heading 3,3,Heading 4,4,"</w:instrText>
          </w:r>
          <w:r>
            <w:fldChar w:fldCharType="separate"/>
          </w:r>
          <w:hyperlink w:anchor="_heading=h.gjdgxs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Introduction</w:t>
            </w:r>
          </w:hyperlink>
          <w:hyperlink w:anchor="_heading=h.gjdgxs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1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0j0zll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Chapitre I : Recherche bibliographique</w:t>
            </w:r>
          </w:hyperlink>
          <w:hyperlink w:anchor="_heading=h.30j0zll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4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fob9te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I.1. Présentation de la plante</w:t>
            </w:r>
          </w:hyperlink>
          <w:hyperlink w:anchor="_heading=h.1fob9te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5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znysh7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I.1.1 Historique</w:t>
            </w:r>
          </w:hyperlink>
          <w:hyperlink w:anchor="_heading=h.3znysh7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5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tyjcwt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I.2. Distribution Géographique</w:t>
            </w:r>
          </w:hyperlink>
          <w:hyperlink w:anchor="_heading=h.tyjcwt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6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dy6vkm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I.2.1. Distribution Géographique de la Famille des Linacées</w:t>
            </w:r>
          </w:hyperlink>
          <w:hyperlink w:anchor="_heading=h.3dy6vkm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6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4d34og8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I.2.2. Distribution Géographique de l'Espèce </w:t>
            </w:r>
          </w:hyperlink>
          <w:hyperlink w:anchor="_heading=h.4d34og8">
            <w:r w:rsidR="003F150D"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  <w:t>Linum usitatissimum</w:t>
            </w:r>
          </w:hyperlink>
          <w:hyperlink w:anchor="_heading=h.4d34og8"/>
          <w:hyperlink w:anchor="_heading=h.4d34og8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>L</w:t>
            </w:r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6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7dp8vu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I.3. Classification Botanique</w:t>
            </w:r>
          </w:hyperlink>
          <w:hyperlink w:anchor="_heading=h.17dp8vu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7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26in1rg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I.4. Description Botanique</w:t>
            </w:r>
          </w:hyperlink>
          <w:r w:rsidR="003F150D">
            <w:t>7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lnxbz9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I.4.1. Description Botanique de la Famille des Linacées</w:t>
            </w:r>
          </w:hyperlink>
          <w:hyperlink w:anchor="_heading=h.lnxbz9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8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5nkun2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I.4.2. Description Botanique de l'Espèce </w:t>
            </w:r>
          </w:hyperlink>
          <w:hyperlink w:anchor="_heading=h.35nkun2">
            <w:r w:rsidR="003F150D"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  <w:t>Linum usitatissimum</w:t>
            </w:r>
          </w:hyperlink>
          <w:hyperlink w:anchor="_heading=h.35nkun2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8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2jxsxqh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I.5. Usage Traditionnel</w:t>
            </w:r>
          </w:hyperlink>
          <w:hyperlink w:anchor="_heading=h.2jxsxqh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10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z337ya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I.5.1. Usage Traditionnel de la Famille des Linacées</w:t>
            </w:r>
          </w:hyperlink>
          <w:hyperlink w:anchor="_heading=h.z337ya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10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j2qqm3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I.5.2. Usage Traditionnel de l'Espèce </w:t>
            </w:r>
          </w:hyperlink>
          <w:hyperlink w:anchor="_heading=h.3j2qqm3">
            <w:r w:rsidR="003F150D"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  <w:t>Linum usitatissimum</w:t>
            </w:r>
          </w:hyperlink>
          <w:hyperlink w:anchor="_heading=h.3j2qqm3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10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y810tw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I.6. Potentiel Biologique</w:t>
            </w:r>
          </w:hyperlink>
          <w:hyperlink w:anchor="_heading=h.1y810tw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11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4i7ojhp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I.6.1. Activité Biologique de la Famille des Linacées</w:t>
            </w:r>
          </w:hyperlink>
          <w:hyperlink w:anchor="_heading=h.4i7ojhp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11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2xcytpi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I.6.2. Activité Biologique de la Plante </w:t>
            </w:r>
          </w:hyperlink>
          <w:hyperlink w:anchor="_heading=h.2xcytpi">
            <w:r w:rsidR="003F150D"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  <w:t>Linum usitatissimum</w:t>
            </w:r>
          </w:hyperlink>
          <w:hyperlink w:anchor="_heading=h.2xcytpi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11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whwml4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I.7. Les Différentes Espèces de la Famille des Linacées</w:t>
            </w:r>
          </w:hyperlink>
          <w:hyperlink w:anchor="_heading=h.3whwml4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13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qsh70q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I.8 Étude Phytochimique</w:t>
            </w:r>
          </w:hyperlink>
          <w:hyperlink w:anchor="_heading=h.qsh70q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14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as4poj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I.8.1 Compositions Chimiques des Graines de Lin (</w:t>
            </w:r>
          </w:hyperlink>
          <w:hyperlink w:anchor="_heading=h.3as4poj">
            <w:r w:rsidR="003F150D"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  <w:t>Linum usitatissimum</w:t>
            </w:r>
          </w:hyperlink>
          <w:hyperlink w:anchor="_heading=h.3as4poj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L.)</w:t>
            </w:r>
          </w:hyperlink>
          <w:hyperlink w:anchor="_heading=h.3as4poj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  <w:t>14</w:t>
            </w:r>
          </w:hyperlink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hmsyys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Chapitre II : Matériels et Méthod</w:t>
            </w:r>
          </w:hyperlink>
          <w:hyperlink w:anchor="_heading=h.1hmsyys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31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2grqrue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Partie II.1. Les techniques de caractérisation utilisées</w:t>
            </w:r>
          </w:hyperlink>
          <w:hyperlink w:anchor="_heading=h.2grqrue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32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vx1227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II.1.1. La spectroscopie infrarouge (IR)</w:t>
            </w:r>
          </w:hyperlink>
          <w:hyperlink w:anchor="_heading=h.vx1227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32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fwokq0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II.1.2. La Chromatographie sur Couche Mince (CCM)</w:t>
            </w:r>
          </w:hyperlink>
          <w:hyperlink w:anchor="_heading=h.3fwokq0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32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v1yuxt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Partie II.2. Extraction des </w:t>
            </w:r>
          </w:hyperlink>
          <w:hyperlink w:anchor="_heading=h.1v1yuxt">
            <w:r w:rsidR="003F150D">
              <w:rPr>
                <w:rFonts w:ascii="Times" w:eastAsia="Times" w:hAnsi="Times" w:cs="Times"/>
                <w:b/>
                <w:sz w:val="24"/>
                <w:szCs w:val="24"/>
              </w:rPr>
              <w:t>extraits</w:t>
            </w:r>
          </w:hyperlink>
          <w:hyperlink w:anchor="_heading=h.1v1yuxt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végéta</w:t>
            </w:r>
          </w:hyperlink>
          <w:hyperlink w:anchor="_heading=h.1v1yuxt">
            <w:r w:rsidR="003F150D">
              <w:rPr>
                <w:rFonts w:ascii="Times" w:eastAsia="Times" w:hAnsi="Times" w:cs="Times"/>
                <w:b/>
                <w:sz w:val="24"/>
                <w:szCs w:val="24"/>
              </w:rPr>
              <w:t>ux</w:t>
            </w:r>
          </w:hyperlink>
          <w:hyperlink w:anchor="_heading=h.1v1yuxt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33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4f1mdlm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II.2.1 Le matériel végétal</w:t>
            </w:r>
          </w:hyperlink>
          <w:hyperlink w:anchor="_heading=h.4f1mdlm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33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9c6y18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II.2.2 Séchage et nettoyage</w:t>
            </w:r>
          </w:hyperlink>
          <w:hyperlink w:anchor="_heading=h.19c6y18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33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28h4qwu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II.2.3 Extraction par macération (par solvant)</w:t>
            </w:r>
          </w:hyperlink>
          <w:hyperlink w:anchor="_heading=h.28h4qwu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34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46r0co2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II.2.4 Extraction par soxhlet </w:t>
            </w:r>
          </w:hyperlink>
          <w:hyperlink w:anchor="_heading=h.46r0co2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36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l18frh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II.2.5 </w:t>
            </w:r>
          </w:hyperlink>
          <w:hyperlink w:anchor="_heading=h.3l18frh">
            <w:r w:rsidR="003F150D">
              <w:rPr>
                <w:rFonts w:ascii="Times" w:eastAsia="Times" w:hAnsi="Times" w:cs="Times"/>
                <w:b/>
                <w:sz w:val="24"/>
                <w:szCs w:val="24"/>
              </w:rPr>
              <w:t>Extraction par décoction</w:t>
            </w:r>
          </w:hyperlink>
          <w:hyperlink w:anchor="_heading=h.3l18frh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37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egqt2p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II.2.6 Macération à froid</w:t>
            </w:r>
          </w:hyperlink>
          <w:hyperlink w:anchor="_heading=h.1egqt2p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39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cqmetx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II.2.7 Détermination du rendement</w:t>
            </w:r>
          </w:hyperlink>
          <w:hyperlink w:anchor="_heading=h.3cqmetx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40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rvwp1q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Partie II.3. Caractéristiques des </w:t>
            </w:r>
          </w:hyperlink>
          <w:hyperlink w:anchor="_heading=h.1rvwp1q">
            <w:r w:rsidR="003F150D">
              <w:rPr>
                <w:rFonts w:ascii="Times" w:eastAsia="Times" w:hAnsi="Times" w:cs="Times"/>
                <w:b/>
                <w:sz w:val="24"/>
                <w:szCs w:val="24"/>
              </w:rPr>
              <w:t>extraits</w:t>
            </w:r>
          </w:hyperlink>
          <w:hyperlink w:anchor="_heading=h.1rvwp1q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végétales</w:t>
            </w:r>
          </w:hyperlink>
          <w:hyperlink w:anchor="_heading=h.1rvwp1q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41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4bvk7pj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II.3.1 Caractéristiques organoleptiques</w:t>
            </w:r>
          </w:hyperlink>
          <w:hyperlink w:anchor="_heading=h.4bvk7pj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41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2r0uhxc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II.3.2 Caractéristiques physico-chimiques</w:t>
            </w:r>
          </w:hyperlink>
          <w:hyperlink w:anchor="_heading=h.2r0uhxc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41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664s55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II.3.2.1. Densité (Norme NF T75-111)</w:t>
            </w:r>
          </w:hyperlink>
          <w:hyperlink w:anchor="_heading=h.1664s55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41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np2meoojwdew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II.3.2.2 Mesure du pH</w:t>
            </w:r>
          </w:hyperlink>
          <w:hyperlink w:anchor="_heading=h.np2meoojwdew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42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4g0dwd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</w:t>
            </w:r>
          </w:hyperlink>
          <w:hyperlink w:anchor="_heading=h.34g0dwd">
            <w:r w:rsidR="003F150D"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  <w:t>.</w:t>
            </w:r>
          </w:hyperlink>
          <w:hyperlink w:anchor="_heading=h.34g0dwd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3.2.3 Indice d’acide (Norme NF T75-103)</w:t>
            </w:r>
          </w:hyperlink>
          <w:hyperlink w:anchor="_heading=h.34g0dwd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42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</w:pPr>
          <w:hyperlink w:anchor="_heading=h.43ky6rz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II.3.2.4 Indice d'ester (Norme NF T75-104)</w:t>
            </w:r>
          </w:hyperlink>
          <w:r w:rsidR="003F150D">
            <w:t xml:space="preserve">                                                                                        43</w:t>
          </w:r>
        </w:p>
        <w:p w:rsidR="003F150D" w:rsidRDefault="003F150D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sz w:val="24"/>
              <w:szCs w:val="24"/>
            </w:rPr>
            <w:t>I</w:t>
          </w:r>
          <w:r>
            <w:rPr>
              <w:rFonts w:ascii="Times" w:eastAsia="Times" w:hAnsi="Times" w:cs="Times"/>
              <w:b/>
              <w:sz w:val="24"/>
              <w:szCs w:val="24"/>
            </w:rPr>
            <w:t>I.3.3 Screening phytochimique (ou étude qualitative des substances extraites)</w:t>
          </w:r>
          <w:hyperlink w:anchor="_heading=h.43ky6rz"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>
            <w:rPr>
              <w:rFonts w:ascii="Times" w:eastAsia="Times" w:hAnsi="Times" w:cs="Times"/>
              <w:sz w:val="24"/>
              <w:szCs w:val="24"/>
            </w:rPr>
            <w:t>45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hyperlink w:anchor="_heading=h.3hv69ve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II.3.3.1 </w:t>
            </w:r>
          </w:hyperlink>
          <w:r w:rsidR="003F150D">
            <w:rPr>
              <w:rFonts w:ascii="Times" w:eastAsia="Times" w:hAnsi="Times" w:cs="Times"/>
              <w:b/>
              <w:sz w:val="24"/>
              <w:szCs w:val="24"/>
            </w:rPr>
            <w:t xml:space="preserve">Tests qualitatifs des extraits végétaux                                                                     </w:t>
          </w:r>
          <w:r w:rsidR="003F150D">
            <w:rPr>
              <w:rFonts w:ascii="Times" w:eastAsia="Times" w:hAnsi="Times" w:cs="Times"/>
              <w:sz w:val="24"/>
              <w:szCs w:val="24"/>
            </w:rPr>
            <w:t>45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II.3.3.2 Tests qualitatifs à partir de l’extrait aqueux                                                          </w:t>
          </w:r>
          <w:r>
            <w:rPr>
              <w:rFonts w:ascii="Times" w:eastAsia="Times" w:hAnsi="Times" w:cs="Times"/>
              <w:sz w:val="24"/>
              <w:szCs w:val="24"/>
            </w:rPr>
            <w:t>47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x0gk37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Partie II.4. Les activités biologiques</w:t>
            </w:r>
          </w:hyperlink>
          <w:hyperlink w:anchor="_heading=h.1x0gk37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47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hyperlink w:anchor="_heading=h.4h042r0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II.4.1 L’activité anti-oxydante</w:t>
            </w:r>
          </w:hyperlink>
          <w:hyperlink w:anchor="_heading=h.4h042r0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47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II.4.2 Anti-inflammatoire                                                                                                       </w:t>
          </w:r>
          <w:r>
            <w:rPr>
              <w:rFonts w:ascii="Times" w:eastAsia="Times" w:hAnsi="Times" w:cs="Times"/>
              <w:sz w:val="24"/>
              <w:szCs w:val="24"/>
            </w:rPr>
            <w:t>50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9kk8xu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II.4.3 Activité antifongique</w:t>
            </w:r>
          </w:hyperlink>
          <w:hyperlink w:anchor="_heading=h.39kk8xu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51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</w:pPr>
          <w:hyperlink w:anchor="_heading=h.1302m92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II.4.4 Activité antibactérienne</w:t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 xml:space="preserve">        52</w:t>
          </w:r>
        </w:p>
        <w:p w:rsidR="003F150D" w:rsidRDefault="003F150D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II.4.5 Activité de l'uréase                                                                                                       </w:t>
          </w:r>
          <w:r>
            <w:rPr>
              <w:rFonts w:ascii="Times" w:eastAsia="Times" w:hAnsi="Times" w:cs="Times"/>
              <w:sz w:val="24"/>
              <w:szCs w:val="24"/>
            </w:rPr>
            <w:t>55</w:t>
          </w:r>
        </w:p>
        <w:p w:rsidR="003F150D" w:rsidRDefault="003F150D" w:rsidP="003F150D">
          <w:pPr>
            <w:spacing w:after="0" w:line="360" w:lineRule="auto"/>
            <w:jc w:val="both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II.5 Méthodes de séparation et de purification des composés actifs des graines de lin    </w:t>
          </w:r>
          <w:r>
            <w:rPr>
              <w:rFonts w:ascii="Times" w:eastAsia="Times" w:hAnsi="Times" w:cs="Times"/>
              <w:sz w:val="24"/>
              <w:szCs w:val="24"/>
            </w:rPr>
            <w:t>57</w:t>
          </w:r>
        </w:p>
        <w:p w:rsidR="003F150D" w:rsidRDefault="003F150D" w:rsidP="003F150D">
          <w:pPr>
            <w:pStyle w:val="Titre4"/>
            <w:keepNext w:val="0"/>
            <w:keepLines w:val="0"/>
            <w:spacing w:before="0" w:after="0" w:line="360" w:lineRule="auto"/>
            <w:jc w:val="both"/>
            <w:rPr>
              <w:rFonts w:ascii="Times" w:eastAsia="Times" w:hAnsi="Times" w:cs="Times"/>
              <w:b w:val="0"/>
            </w:rPr>
          </w:pPr>
          <w:bookmarkStart w:id="0" w:name="_heading=h.dwo4ntxjx6v7" w:colFirst="0" w:colLast="0"/>
          <w:bookmarkEnd w:id="0"/>
          <w:r>
            <w:rPr>
              <w:rFonts w:ascii="Times" w:eastAsia="Times" w:hAnsi="Times" w:cs="Times"/>
            </w:rPr>
            <w:t xml:space="preserve">II.5.1 Extraction initiale                                                                                                         </w:t>
          </w:r>
          <w:r>
            <w:rPr>
              <w:rFonts w:ascii="Times" w:eastAsia="Times" w:hAnsi="Times" w:cs="Times"/>
              <w:b w:val="0"/>
            </w:rPr>
            <w:t>57</w:t>
          </w:r>
        </w:p>
        <w:p w:rsidR="003F150D" w:rsidRDefault="003F150D" w:rsidP="003F150D">
          <w:pPr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>II.5.2 Saponification</w:t>
          </w:r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                                                                                57</w:t>
          </w:r>
        </w:p>
        <w:p w:rsidR="003F150D" w:rsidRDefault="003F150D" w:rsidP="003F150D">
          <w:pPr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>II.5.3 Recristallisation</w:t>
          </w:r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                                                                             57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II.5.4 Isolation et conditionnement                        </w:t>
          </w:r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                                58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40ew0vw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Chapitre III : Résultats et discussions</w:t>
            </w:r>
          </w:hyperlink>
          <w:hyperlink w:anchor="_heading=h.40ew0vw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65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2fk6b3p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III.1 Détermination de rendement d’extraction</w:t>
            </w:r>
          </w:hyperlink>
          <w:hyperlink w:anchor="_heading=h.2fk6b3p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64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ep43zb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III.2 Caractérisation des huiles </w:t>
            </w:r>
          </w:hyperlink>
          <w:hyperlink w:anchor="_heading=h.3ep43zb">
            <w:r w:rsidR="003F150D">
              <w:rPr>
                <w:rFonts w:ascii="Times" w:eastAsia="Times" w:hAnsi="Times" w:cs="Times"/>
                <w:b/>
                <w:sz w:val="24"/>
                <w:szCs w:val="24"/>
              </w:rPr>
              <w:t>végétaux</w:t>
            </w:r>
          </w:hyperlink>
          <w:hyperlink w:anchor="_heading=h.3ep43zb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65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tuee74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III.2.1 Caractéristiques organoleptiques</w:t>
            </w:r>
          </w:hyperlink>
          <w:hyperlink w:anchor="_heading=h.1tuee74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65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hyperlink w:anchor="_heading=h.2szc72q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III.2.2 Caractéristiques physico- chimiques</w:t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66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>III.2.3 Screening phytochimique </w:t>
          </w:r>
          <w:hyperlink w:anchor="_heading=h.2szc72q"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                                                       67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jtnz0s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III.3. Spectroscopie IR</w:t>
            </w:r>
          </w:hyperlink>
          <w:hyperlink w:anchor="_heading=h.3jtnz0s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74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2ce457m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III.4 La Chromatographie sur Couche Mince (CCM)</w:t>
            </w:r>
          </w:hyperlink>
          <w:hyperlink w:anchor="_heading=h.2ce457m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75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rjefff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III.5 Les activités biologiques</w:t>
            </w:r>
          </w:hyperlink>
          <w:hyperlink w:anchor="_heading=h.rjefff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76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3bj1y38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III.5.1 Activité antioxydante</w:t>
            </w:r>
          </w:hyperlink>
          <w:hyperlink w:anchor="_heading=h.3bj1y38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76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hyperlink w:anchor="_heading=h.1idq7dh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III.5.2 Activité anti-inflammatoire in vitro</w:t>
            </w:r>
          </w:hyperlink>
          <w:hyperlink w:anchor="_heading=h.1idq7dh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82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hyperlink w:anchor="_heading=h.wnyagw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III.5.</w:t>
            </w:r>
          </w:hyperlink>
          <w:hyperlink w:anchor="_heading=h.wnyagw">
            <w:r w:rsidR="003F150D">
              <w:rPr>
                <w:rFonts w:ascii="Times" w:eastAsia="Times" w:hAnsi="Times" w:cs="Times"/>
                <w:b/>
                <w:sz w:val="24"/>
                <w:szCs w:val="24"/>
              </w:rPr>
              <w:t>3</w:t>
            </w:r>
          </w:hyperlink>
          <w:hyperlink w:anchor="_heading=h.wnyagw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Évaluation de l’activité antibactérienne</w:t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 xml:space="preserve">                                                                   84</w:t>
          </w:r>
        </w:p>
        <w:p w:rsidR="003F150D" w:rsidRDefault="003F150D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lastRenderedPageBreak/>
            <w:t xml:space="preserve">III.5.3.1. Activité antibactérienne                                                                                         </w:t>
          </w:r>
          <w:r>
            <w:rPr>
              <w:rFonts w:ascii="Times" w:eastAsia="Times" w:hAnsi="Times" w:cs="Times"/>
              <w:sz w:val="24"/>
              <w:szCs w:val="24"/>
            </w:rPr>
            <w:t>84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III.5.3.1.1. Méthode de disque                                                                                              </w:t>
          </w:r>
          <w:r>
            <w:rPr>
              <w:rFonts w:ascii="Times" w:eastAsia="Times" w:hAnsi="Times" w:cs="Times"/>
              <w:sz w:val="24"/>
              <w:szCs w:val="24"/>
            </w:rPr>
            <w:t xml:space="preserve"> 84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III.5.3.1.2. Détermination de la Concentration minimale inhibitrice et bactéricide des extraits  de </w:t>
          </w:r>
          <w:r>
            <w:rPr>
              <w:rFonts w:ascii="Times" w:eastAsia="Times" w:hAnsi="Times" w:cs="Times"/>
              <w:b/>
              <w:i/>
              <w:sz w:val="24"/>
              <w:szCs w:val="24"/>
            </w:rPr>
            <w:t xml:space="preserve">Linum usitatissimum                                                                                          </w:t>
          </w:r>
          <w:r>
            <w:rPr>
              <w:rFonts w:ascii="Times" w:eastAsia="Times" w:hAnsi="Times" w:cs="Times"/>
              <w:sz w:val="24"/>
              <w:szCs w:val="24"/>
            </w:rPr>
            <w:t xml:space="preserve"> 85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III.5.3.1.2.1. Concentration minimale inhibitrice                                </w:t>
          </w:r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 85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>III.5.3.1.2.1.2.  Concentrations minimales bactéricide</w:t>
          </w:r>
          <w:hyperlink w:anchor="_heading=h.wnyagw"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>
            <w:rPr>
              <w:rFonts w:ascii="Times" w:eastAsia="Times" w:hAnsi="Times" w:cs="Times"/>
              <w:sz w:val="24"/>
              <w:szCs w:val="24"/>
            </w:rPr>
            <w:t xml:space="preserve">              86</w:t>
          </w:r>
        </w:p>
        <w:p w:rsid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rPr>
              <w:sz w:val="24"/>
              <w:szCs w:val="24"/>
            </w:rPr>
          </w:pPr>
          <w:hyperlink w:anchor="_heading=h.1a346fx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III.5.</w:t>
            </w:r>
          </w:hyperlink>
          <w:hyperlink w:anchor="_heading=h.1a346fx">
            <w:r w:rsidR="003F150D">
              <w:rPr>
                <w:rFonts w:ascii="Times" w:eastAsia="Times" w:hAnsi="Times" w:cs="Times"/>
                <w:b/>
                <w:sz w:val="24"/>
                <w:szCs w:val="24"/>
              </w:rPr>
              <w:t>4</w:t>
            </w:r>
          </w:hyperlink>
          <w:hyperlink w:anchor="_heading=h.1a346fx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Activité antifongique </w:t>
            </w:r>
          </w:hyperlink>
          <w:r w:rsidR="003F150D">
            <w:rPr>
              <w:sz w:val="24"/>
              <w:szCs w:val="24"/>
            </w:rPr>
            <w:t xml:space="preserve">                                                                                                            87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III.5.5 Activité inhibitrice de l'uréase                                                                                   </w:t>
          </w:r>
          <w:r>
            <w:rPr>
              <w:rFonts w:ascii="Times" w:eastAsia="Times" w:hAnsi="Times" w:cs="Times"/>
              <w:sz w:val="24"/>
              <w:szCs w:val="24"/>
            </w:rPr>
            <w:t>89</w:t>
          </w:r>
        </w:p>
        <w:p w:rsidR="003F150D" w:rsidRDefault="003F150D" w:rsidP="003F150D">
          <w:pPr>
            <w:tabs>
              <w:tab w:val="left" w:pos="2796"/>
            </w:tabs>
            <w:spacing w:after="0" w:line="360" w:lineRule="auto"/>
            <w:jc w:val="both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>III.6 Étude comparative entre le bêta-sitostérol de référence et le bêta-sitostérol isolé</w:t>
          </w:r>
          <w:r>
            <w:rPr>
              <w:rFonts w:ascii="Times" w:eastAsia="Times" w:hAnsi="Times" w:cs="Times"/>
              <w:sz w:val="24"/>
              <w:szCs w:val="24"/>
            </w:rPr>
            <w:t xml:space="preserve">  91</w:t>
          </w:r>
        </w:p>
        <w:p w:rsidR="003F150D" w:rsidRDefault="003F150D" w:rsidP="003F150D">
          <w:pPr>
            <w:tabs>
              <w:tab w:val="left" w:pos="2796"/>
            </w:tabs>
            <w:spacing w:after="0" w:line="360" w:lineRule="auto"/>
            <w:jc w:val="both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>III.6.1Interprétation IR</w:t>
          </w:r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                                                                         91</w:t>
          </w:r>
        </w:p>
        <w:p w:rsidR="003F150D" w:rsidRDefault="003F150D" w:rsidP="003F150D">
          <w:pPr>
            <w:tabs>
              <w:tab w:val="left" w:pos="2796"/>
            </w:tabs>
            <w:spacing w:after="0" w:line="360" w:lineRule="auto"/>
            <w:jc w:val="both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III.6.2 Caractérisation par spectroscopie UV                        </w:t>
          </w:r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              93</w:t>
          </w:r>
        </w:p>
        <w:p w:rsidR="003F150D" w:rsidRDefault="003F150D" w:rsidP="003F150D">
          <w:pPr>
            <w:tabs>
              <w:tab w:val="left" w:pos="2796"/>
            </w:tabs>
            <w:spacing w:after="0" w:line="360" w:lineRule="auto"/>
            <w:jc w:val="both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III.6.2.1 Résultats et interprétation                                                                                      </w:t>
          </w:r>
          <w:r>
            <w:rPr>
              <w:rFonts w:ascii="Times" w:eastAsia="Times" w:hAnsi="Times" w:cs="Times"/>
              <w:sz w:val="24"/>
              <w:szCs w:val="24"/>
            </w:rPr>
            <w:t>93</w:t>
          </w:r>
        </w:p>
        <w:p w:rsidR="003F150D" w:rsidRDefault="003F150D" w:rsidP="003F150D">
          <w:pPr>
            <w:tabs>
              <w:tab w:val="left" w:pos="2796"/>
            </w:tabs>
            <w:spacing w:after="0" w:line="360" w:lineRule="auto"/>
            <w:jc w:val="both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>III.6.3 Caractérisation par chromatographie sur couche mince</w:t>
          </w:r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        94</w:t>
          </w:r>
        </w:p>
        <w:p w:rsidR="003F150D" w:rsidRDefault="003F150D" w:rsidP="003F150D">
          <w:pPr>
            <w:tabs>
              <w:tab w:val="left" w:pos="2796"/>
            </w:tabs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III.7 Contrôle de qualité de la pommade préparer                      </w:t>
          </w:r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        95</w:t>
          </w:r>
        </w:p>
        <w:p w:rsidR="003F150D" w:rsidRDefault="003F150D" w:rsidP="003F150D">
          <w:pPr>
            <w:tabs>
              <w:tab w:val="left" w:pos="2796"/>
            </w:tabs>
            <w:spacing w:after="0" w:line="360" w:lineRule="auto"/>
            <w:jc w:val="both"/>
            <w:rPr>
              <w:rFonts w:ascii="Times" w:eastAsia="Times" w:hAnsi="Times" w:cs="Times"/>
              <w:b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Chapitre IV: Préparation de la pommade  </w:t>
          </w:r>
        </w:p>
        <w:p w:rsidR="003F150D" w:rsidRDefault="003F150D" w:rsidP="003F150D">
          <w:pPr>
            <w:pStyle w:val="Titre4"/>
            <w:keepNext w:val="0"/>
            <w:keepLines w:val="0"/>
            <w:spacing w:before="0" w:after="0" w:line="360" w:lineRule="auto"/>
            <w:jc w:val="both"/>
            <w:rPr>
              <w:rFonts w:ascii="Times" w:eastAsia="Times" w:hAnsi="Times" w:cs="Times"/>
              <w:b w:val="0"/>
            </w:rPr>
          </w:pPr>
          <w:bookmarkStart w:id="1" w:name="_heading=h.g499xr9nldf6" w:colFirst="0" w:colLast="0"/>
          <w:bookmarkEnd w:id="1"/>
          <w:r>
            <w:rPr>
              <w:rFonts w:ascii="Times" w:eastAsia="Times" w:hAnsi="Times" w:cs="Times"/>
            </w:rPr>
            <w:t xml:space="preserve">IV.1 Introduction               </w:t>
          </w:r>
          <w:r>
            <w:rPr>
              <w:rFonts w:ascii="Times" w:eastAsia="Times" w:hAnsi="Times" w:cs="Times"/>
              <w:b w:val="0"/>
            </w:rPr>
            <w:t xml:space="preserve">                                                                                                   101</w:t>
          </w:r>
        </w:p>
        <w:p w:rsidR="003F150D" w:rsidRDefault="003F150D" w:rsidP="003F150D">
          <w:pPr>
            <w:pStyle w:val="Titre4"/>
            <w:keepNext w:val="0"/>
            <w:keepLines w:val="0"/>
            <w:spacing w:before="0" w:after="0" w:line="360" w:lineRule="auto"/>
            <w:jc w:val="both"/>
            <w:rPr>
              <w:rFonts w:ascii="Times" w:eastAsia="Times" w:hAnsi="Times" w:cs="Times"/>
              <w:b w:val="0"/>
            </w:rPr>
          </w:pPr>
          <w:bookmarkStart w:id="2" w:name="_heading=h.ltxdj62omsfh" w:colFirst="0" w:colLast="0"/>
          <w:bookmarkEnd w:id="2"/>
          <w:r>
            <w:rPr>
              <w:rFonts w:ascii="Times" w:eastAsia="Times" w:hAnsi="Times" w:cs="Times"/>
            </w:rPr>
            <w:t xml:space="preserve">IV.2 Les Différentes Catégories de Préparations Cosmétiques                          </w:t>
          </w:r>
          <w:r>
            <w:rPr>
              <w:rFonts w:ascii="Times" w:eastAsia="Times" w:hAnsi="Times" w:cs="Times"/>
              <w:b w:val="0"/>
            </w:rPr>
            <w:t xml:space="preserve">              101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>IV.2.1 Positionnement de la Pommade dans les Catégories</w:t>
          </w:r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              102                               </w:t>
          </w:r>
        </w:p>
        <w:p w:rsidR="003F150D" w:rsidRDefault="003F150D" w:rsidP="003F150D">
          <w:pPr>
            <w:pStyle w:val="Titre3"/>
            <w:keepNext w:val="0"/>
            <w:keepLines w:val="0"/>
            <w:spacing w:before="0" w:after="0" w:line="360" w:lineRule="auto"/>
            <w:jc w:val="both"/>
            <w:rPr>
              <w:rFonts w:ascii="Times" w:eastAsia="Times" w:hAnsi="Times" w:cs="Times"/>
              <w:b w:val="0"/>
              <w:sz w:val="24"/>
              <w:szCs w:val="24"/>
            </w:rPr>
          </w:pPr>
          <w:bookmarkStart w:id="3" w:name="_heading=h.8fmg0q3gmcgm" w:colFirst="0" w:colLast="0"/>
          <w:bookmarkEnd w:id="3"/>
          <w:r>
            <w:rPr>
              <w:rFonts w:ascii="Times" w:eastAsia="Times" w:hAnsi="Times" w:cs="Times"/>
              <w:sz w:val="24"/>
              <w:szCs w:val="24"/>
            </w:rPr>
            <w:t xml:space="preserve">IV.3 Description                                                </w:t>
          </w:r>
          <w:r>
            <w:rPr>
              <w:rFonts w:ascii="Times" w:eastAsia="Times" w:hAnsi="Times" w:cs="Times"/>
              <w:b w:val="0"/>
              <w:sz w:val="24"/>
              <w:szCs w:val="24"/>
            </w:rPr>
            <w:t xml:space="preserve">                                                                    102</w:t>
          </w:r>
        </w:p>
        <w:p w:rsidR="003F150D" w:rsidRDefault="003F150D" w:rsidP="003F150D">
          <w:pPr>
            <w:spacing w:after="0" w:line="360" w:lineRule="auto"/>
            <w:rPr>
              <w:rFonts w:ascii="Times" w:eastAsia="Times" w:hAnsi="Times" w:cs="Times"/>
              <w:sz w:val="24"/>
              <w:szCs w:val="24"/>
            </w:rPr>
          </w:pPr>
          <w:r>
            <w:rPr>
              <w:rFonts w:ascii="Times" w:eastAsia="Times" w:hAnsi="Times" w:cs="Times"/>
              <w:b/>
              <w:sz w:val="24"/>
              <w:szCs w:val="24"/>
            </w:rPr>
            <w:t xml:space="preserve">IV.4 Effet Combiné et Synergie des Composants                               </w:t>
          </w:r>
          <w:r>
            <w:rPr>
              <w:rFonts w:ascii="Times" w:eastAsia="Times" w:hAnsi="Times" w:cs="Times"/>
              <w:sz w:val="24"/>
              <w:szCs w:val="24"/>
            </w:rPr>
            <w:t xml:space="preserve">                               102</w:t>
          </w:r>
        </w:p>
        <w:p w:rsidR="003F150D" w:rsidRDefault="003F150D" w:rsidP="003F150D">
          <w:pPr>
            <w:pStyle w:val="Titre3"/>
            <w:keepNext w:val="0"/>
            <w:keepLines w:val="0"/>
            <w:spacing w:before="0" w:after="0" w:line="360" w:lineRule="auto"/>
            <w:jc w:val="both"/>
            <w:rPr>
              <w:rFonts w:ascii="Times" w:eastAsia="Times" w:hAnsi="Times" w:cs="Times"/>
              <w:b w:val="0"/>
              <w:color w:val="000000"/>
              <w:sz w:val="24"/>
              <w:szCs w:val="24"/>
            </w:rPr>
          </w:pPr>
          <w:bookmarkStart w:id="4" w:name="_heading=h.8t8a0i1y5am8" w:colFirst="0" w:colLast="0"/>
          <w:bookmarkEnd w:id="4"/>
          <w:r>
            <w:rPr>
              <w:rFonts w:ascii="Times" w:eastAsia="Times" w:hAnsi="Times" w:cs="Times"/>
              <w:sz w:val="24"/>
              <w:szCs w:val="24"/>
            </w:rPr>
            <w:t>IV.5 Méthode de fabrication</w:t>
          </w:r>
          <w:hyperlink w:anchor="_heading=h.1a346fx">
            <w:r>
              <w:rPr>
                <w:rFonts w:ascii="Times" w:eastAsia="Times" w:hAnsi="Times" w:cs="Times"/>
                <w:b w:val="0"/>
                <w:color w:val="000000"/>
                <w:sz w:val="24"/>
                <w:szCs w:val="24"/>
              </w:rPr>
              <w:tab/>
            </w:r>
          </w:hyperlink>
          <w:r>
            <w:rPr>
              <w:rFonts w:ascii="Times" w:eastAsia="Times" w:hAnsi="Times" w:cs="Times"/>
              <w:b w:val="0"/>
              <w:sz w:val="24"/>
              <w:szCs w:val="24"/>
            </w:rPr>
            <w:t>103</w:t>
          </w:r>
        </w:p>
        <w:p w:rsidR="003F150D" w:rsidRPr="003F150D" w:rsidRDefault="0081720E" w:rsidP="003F15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360" w:lineRule="auto"/>
            <w:jc w:val="both"/>
            <w:rPr>
              <w:rFonts w:ascii="Times" w:eastAsia="Times" w:hAnsi="Times" w:cs="Times"/>
              <w:color w:val="000000"/>
              <w:sz w:val="24"/>
              <w:szCs w:val="24"/>
            </w:rPr>
            <w:sectPr w:rsidR="003F150D" w:rsidRPr="003F150D">
              <w:headerReference w:type="default" r:id="rId8"/>
              <w:pgSz w:w="11906" w:h="16838"/>
              <w:pgMar w:top="1440" w:right="1440" w:bottom="1440" w:left="1440" w:header="720" w:footer="454" w:gutter="0"/>
              <w:pgNumType w:start="1"/>
              <w:cols w:space="720"/>
            </w:sectPr>
          </w:pPr>
          <w:hyperlink w:anchor="_heading=h.odc9jc">
            <w:r w:rsidR="003F150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Conclusion</w:t>
            </w:r>
          </w:hyperlink>
          <w:hyperlink w:anchor="_heading=h.odc9jc">
            <w:r w:rsidR="003F150D">
              <w:rPr>
                <w:rFonts w:ascii="Times" w:eastAsia="Times" w:hAnsi="Times" w:cs="Times"/>
                <w:color w:val="000000"/>
                <w:sz w:val="24"/>
                <w:szCs w:val="24"/>
              </w:rPr>
              <w:tab/>
            </w:r>
          </w:hyperlink>
          <w:r w:rsidR="003F150D">
            <w:rPr>
              <w:rFonts w:ascii="Times" w:eastAsia="Times" w:hAnsi="Times" w:cs="Times"/>
              <w:sz w:val="24"/>
              <w:szCs w:val="24"/>
            </w:rPr>
            <w:t>107</w:t>
          </w:r>
          <w:r>
            <w:fldChar w:fldCharType="end"/>
          </w:r>
        </w:p>
      </w:sdtContent>
    </w:sdt>
    <w:p w:rsidR="003F150D" w:rsidRDefault="003F150D"/>
    <w:sectPr w:rsidR="003F150D" w:rsidSect="0030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20E" w:rsidRDefault="0081720E" w:rsidP="0081720E">
      <w:pPr>
        <w:spacing w:after="0" w:line="240" w:lineRule="auto"/>
      </w:pPr>
      <w:r>
        <w:separator/>
      </w:r>
    </w:p>
  </w:endnote>
  <w:endnote w:type="continuationSeparator" w:id="1">
    <w:p w:rsidR="0081720E" w:rsidRDefault="0081720E" w:rsidP="0081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20E" w:rsidRDefault="0081720E" w:rsidP="0081720E">
      <w:pPr>
        <w:spacing w:after="0" w:line="240" w:lineRule="auto"/>
      </w:pPr>
      <w:r>
        <w:separator/>
      </w:r>
    </w:p>
  </w:footnote>
  <w:footnote w:type="continuationSeparator" w:id="1">
    <w:p w:rsidR="0081720E" w:rsidRDefault="0081720E" w:rsidP="00817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0D" w:rsidRDefault="003F150D">
    <w:pPr>
      <w:pBdr>
        <w:top w:val="nil"/>
        <w:left w:val="nil"/>
        <w:bottom w:val="single" w:sz="24" w:space="1" w:color="843C0B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" w:eastAsia="Times" w:hAnsi="Times" w:cs="Times"/>
        <w:b/>
        <w:color w:val="000000"/>
        <w:sz w:val="24"/>
        <w:szCs w:val="24"/>
      </w:rPr>
    </w:pPr>
    <w:r>
      <w:rPr>
        <w:rFonts w:ascii="Times" w:eastAsia="Times" w:hAnsi="Times" w:cs="Times"/>
        <w:b/>
        <w:color w:val="000000"/>
        <w:sz w:val="24"/>
        <w:szCs w:val="24"/>
      </w:rPr>
      <w:t>Sommaire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50D"/>
    <w:rsid w:val="003015A1"/>
    <w:rsid w:val="003F150D"/>
    <w:rsid w:val="00591A2E"/>
    <w:rsid w:val="0081720E"/>
    <w:rsid w:val="00CF1993"/>
    <w:rsid w:val="00DB5139"/>
    <w:rsid w:val="00E1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50D"/>
    <w:pPr>
      <w:spacing w:after="160" w:line="259" w:lineRule="auto"/>
    </w:pPr>
    <w:rPr>
      <w:rFonts w:ascii="Calibri" w:eastAsia="Calibri" w:hAnsi="Calibri" w:cs="Calibri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15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150D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F150D"/>
    <w:rPr>
      <w:rFonts w:ascii="Calibri" w:eastAsia="Calibri" w:hAnsi="Calibri" w:cs="Calibri"/>
      <w:b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F150D"/>
    <w:rPr>
      <w:rFonts w:ascii="Calibri" w:eastAsia="Calibri" w:hAnsi="Calibri" w:cs="Calibri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50D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2263</Words>
  <Characters>12448</Characters>
  <Application>Microsoft Office Word</Application>
  <DocSecurity>0</DocSecurity>
  <Lines>103</Lines>
  <Paragraphs>29</Paragraphs>
  <ScaleCrop>false</ScaleCrop>
  <Company/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sciences</dc:creator>
  <cp:lastModifiedBy>FC SCIENCE</cp:lastModifiedBy>
  <cp:revision>2</cp:revision>
  <dcterms:created xsi:type="dcterms:W3CDTF">2024-12-16T09:46:00Z</dcterms:created>
  <dcterms:modified xsi:type="dcterms:W3CDTF">2024-12-17T09:59:00Z</dcterms:modified>
</cp:coreProperties>
</file>