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7752" w14:textId="77777777" w:rsidR="005330FB" w:rsidRDefault="005330FB" w:rsidP="00616FA9">
      <w:pPr>
        <w:spacing w:line="276" w:lineRule="auto"/>
        <w:jc w:val="both"/>
        <w:rPr>
          <w:rFonts w:ascii="Sakkal Majalla" w:hAnsi="Sakkal Majalla" w:cs="Sakkal Majalla"/>
          <w:b/>
          <w:bCs/>
          <w:sz w:val="28"/>
          <w:szCs w:val="28"/>
          <w:u w:val="single"/>
          <w:rtl/>
          <w:lang w:bidi="ar-DZ"/>
        </w:rPr>
      </w:pPr>
      <w:r w:rsidRPr="004F0B00">
        <w:rPr>
          <w:rFonts w:ascii="Sakkal Majalla" w:hAnsi="Sakkal Majalla" w:cs="Sakkal Majalla"/>
          <w:b/>
          <w:bCs/>
          <w:sz w:val="28"/>
          <w:szCs w:val="28"/>
          <w:u w:val="single"/>
          <w:rtl/>
          <w:lang w:bidi="ar-DZ"/>
        </w:rPr>
        <w:t>الملخص:</w:t>
      </w:r>
    </w:p>
    <w:p w14:paraId="28E95A5C" w14:textId="77777777" w:rsidR="005330FB" w:rsidRPr="004F0B00" w:rsidRDefault="005330FB" w:rsidP="00616FA9">
      <w:pPr>
        <w:spacing w:line="276" w:lineRule="auto"/>
        <w:ind w:firstLine="566"/>
        <w:jc w:val="both"/>
        <w:rPr>
          <w:rFonts w:ascii="Sakkal Majalla" w:hAnsi="Sakkal Majalla" w:cs="Sakkal Majalla"/>
          <w:sz w:val="28"/>
          <w:szCs w:val="28"/>
          <w:lang w:bidi="ar-DZ"/>
        </w:rPr>
      </w:pPr>
      <w:r w:rsidRPr="004F0B00">
        <w:rPr>
          <w:rFonts w:ascii="Sakkal Majalla" w:hAnsi="Sakkal Majalla" w:cs="Sakkal Majalla"/>
          <w:sz w:val="28"/>
          <w:szCs w:val="28"/>
          <w:rtl/>
          <w:lang w:bidi="ar-DZ"/>
        </w:rPr>
        <w:t>هدف</w:t>
      </w:r>
      <w:r>
        <w:rPr>
          <w:rFonts w:ascii="Sakkal Majalla" w:hAnsi="Sakkal Majalla" w:cs="Sakkal Majalla" w:hint="cs"/>
          <w:sz w:val="28"/>
          <w:szCs w:val="28"/>
          <w:rtl/>
          <w:lang w:bidi="ar-DZ"/>
        </w:rPr>
        <w:t>ت</w:t>
      </w:r>
      <w:r w:rsidRPr="004F0B00">
        <w:rPr>
          <w:rFonts w:ascii="Sakkal Majalla" w:hAnsi="Sakkal Majalla" w:cs="Sakkal Majalla"/>
          <w:sz w:val="28"/>
          <w:szCs w:val="28"/>
          <w:rtl/>
          <w:lang w:bidi="ar-DZ"/>
        </w:rPr>
        <w:t xml:space="preserve"> هذه </w:t>
      </w:r>
      <w:r>
        <w:rPr>
          <w:rFonts w:ascii="Sakkal Majalla" w:hAnsi="Sakkal Majalla" w:cs="Sakkal Majalla" w:hint="cs"/>
          <w:sz w:val="28"/>
          <w:szCs w:val="28"/>
          <w:rtl/>
          <w:lang w:bidi="ar-DZ"/>
        </w:rPr>
        <w:t xml:space="preserve">الدراسة </w:t>
      </w:r>
      <w:r w:rsidRPr="004F0B00">
        <w:rPr>
          <w:rFonts w:ascii="Sakkal Majalla" w:hAnsi="Sakkal Majalla" w:cs="Sakkal Majalla"/>
          <w:sz w:val="28"/>
          <w:szCs w:val="28"/>
          <w:rtl/>
          <w:lang w:bidi="ar-DZ"/>
        </w:rPr>
        <w:t xml:space="preserve">إلى </w:t>
      </w:r>
      <w:r>
        <w:rPr>
          <w:rFonts w:ascii="Sakkal Majalla" w:hAnsi="Sakkal Majalla" w:cs="Sakkal Majalla" w:hint="cs"/>
          <w:sz w:val="28"/>
          <w:szCs w:val="28"/>
          <w:rtl/>
          <w:lang w:bidi="ar-DZ"/>
        </w:rPr>
        <w:t>تسليط الضوء على</w:t>
      </w:r>
      <w:r w:rsidRPr="004F0B00">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 xml:space="preserve">دور </w:t>
      </w:r>
      <w:r w:rsidRPr="004F0B00">
        <w:rPr>
          <w:rFonts w:ascii="Sakkal Majalla" w:hAnsi="Sakkal Majalla" w:cs="Sakkal Majalla" w:hint="cs"/>
          <w:sz w:val="28"/>
          <w:szCs w:val="28"/>
          <w:rtl/>
          <w:lang w:bidi="ar-DZ"/>
        </w:rPr>
        <w:t>التكنولوجيا</w:t>
      </w:r>
      <w:r w:rsidRPr="004F0B00">
        <w:rPr>
          <w:rFonts w:ascii="Sakkal Majalla" w:hAnsi="Sakkal Majalla" w:cs="Sakkal Majalla"/>
          <w:sz w:val="28"/>
          <w:szCs w:val="28"/>
          <w:rtl/>
          <w:lang w:bidi="ar-DZ"/>
        </w:rPr>
        <w:t xml:space="preserve"> الإشرافية</w:t>
      </w:r>
      <w:r>
        <w:rPr>
          <w:rFonts w:ascii="Sakkal Majalla" w:hAnsi="Sakkal Majalla" w:cs="Sakkal Majalla" w:hint="cs"/>
          <w:sz w:val="28"/>
          <w:szCs w:val="28"/>
          <w:rtl/>
          <w:lang w:bidi="ar-DZ"/>
        </w:rPr>
        <w:t xml:space="preserve"> في إدارة المخاطر بالأنظمة المالية من خلال دراسة تجربة كل من</w:t>
      </w:r>
      <w:r w:rsidRPr="004F0B00">
        <w:rPr>
          <w:rFonts w:ascii="Sakkal Majalla" w:hAnsi="Sakkal Majalla" w:cs="Sakkal Majalla"/>
          <w:sz w:val="28"/>
          <w:szCs w:val="28"/>
          <w:rtl/>
          <w:lang w:bidi="ar-DZ"/>
        </w:rPr>
        <w:t xml:space="preserve"> الاتحاد الأوروبي والمملكة المتحدة </w:t>
      </w:r>
      <w:r>
        <w:rPr>
          <w:rFonts w:ascii="Sakkal Majalla" w:hAnsi="Sakkal Majalla" w:cs="Sakkal Majalla" w:hint="cs"/>
          <w:sz w:val="28"/>
          <w:szCs w:val="28"/>
          <w:rtl/>
          <w:lang w:bidi="ar-DZ"/>
        </w:rPr>
        <w:t>بالاستخدام المنهج الوصفي التحليلي وذلك بالاعتماد على</w:t>
      </w:r>
      <w:r w:rsidRPr="004F0B00">
        <w:rPr>
          <w:rFonts w:ascii="Sakkal Majalla" w:hAnsi="Sakkal Majalla" w:cs="Sakkal Majalla"/>
          <w:sz w:val="28"/>
          <w:szCs w:val="28"/>
          <w:rtl/>
          <w:lang w:bidi="ar-DZ"/>
        </w:rPr>
        <w:t xml:space="preserve"> التقارير الصادرة عن الهيئة المصرفية الأوروبية وبنك إنجلترا</w:t>
      </w:r>
      <w:r>
        <w:rPr>
          <w:rFonts w:ascii="Sakkal Majalla" w:hAnsi="Sakkal Majalla" w:cs="Sakkal Majalla" w:hint="cs"/>
          <w:sz w:val="28"/>
          <w:szCs w:val="28"/>
          <w:rtl/>
          <w:lang w:bidi="ar-DZ"/>
        </w:rPr>
        <w:t xml:space="preserve"> خاصة مع </w:t>
      </w:r>
      <w:r w:rsidRPr="004F0B00">
        <w:rPr>
          <w:rFonts w:ascii="Sakkal Majalla" w:hAnsi="Sakkal Majalla" w:cs="Sakkal Majalla"/>
          <w:sz w:val="28"/>
          <w:szCs w:val="28"/>
          <w:rtl/>
          <w:lang w:bidi="ar-DZ"/>
        </w:rPr>
        <w:t>المصادر المحدودة نسبيا للبيانات التجريبية</w:t>
      </w:r>
      <w:r>
        <w:rPr>
          <w:rFonts w:ascii="Sakkal Majalla" w:hAnsi="Sakkal Majalla" w:cs="Sakkal Majalla" w:hint="cs"/>
          <w:sz w:val="28"/>
          <w:szCs w:val="28"/>
          <w:rtl/>
          <w:lang w:bidi="ar-DZ"/>
        </w:rPr>
        <w:t>.</w:t>
      </w:r>
    </w:p>
    <w:p w14:paraId="1B3C3F89" w14:textId="77777777" w:rsidR="005330FB" w:rsidRPr="00DC649C" w:rsidRDefault="005330FB" w:rsidP="00616FA9">
      <w:pPr>
        <w:spacing w:line="276" w:lineRule="auto"/>
        <w:ind w:firstLine="566"/>
        <w:jc w:val="both"/>
        <w:rPr>
          <w:rFonts w:ascii="Sakkal Majalla" w:hAnsi="Sakkal Majalla" w:cs="Sakkal Majalla"/>
          <w:sz w:val="28"/>
          <w:szCs w:val="28"/>
          <w:lang w:bidi="ar-DZ"/>
        </w:rPr>
      </w:pPr>
      <w:r>
        <w:rPr>
          <w:rFonts w:ascii="Sakkal Majalla" w:hAnsi="Sakkal Majalla" w:cs="Sakkal Majalla" w:hint="cs"/>
          <w:sz w:val="28"/>
          <w:szCs w:val="28"/>
          <w:rtl/>
          <w:lang w:bidi="ar-DZ"/>
        </w:rPr>
        <w:t>توصلت الدراسة لجملة من النتائج، لعل أهمها الا</w:t>
      </w:r>
      <w:r w:rsidRPr="004F0B00">
        <w:rPr>
          <w:rFonts w:ascii="Sakkal Majalla" w:hAnsi="Sakkal Majalla" w:cs="Sakkal Majalla"/>
          <w:sz w:val="28"/>
          <w:szCs w:val="28"/>
          <w:rtl/>
          <w:lang w:bidi="ar-DZ"/>
        </w:rPr>
        <w:t xml:space="preserve">ختلافات </w:t>
      </w:r>
      <w:r>
        <w:rPr>
          <w:rFonts w:ascii="Sakkal Majalla" w:hAnsi="Sakkal Majalla" w:cs="Sakkal Majalla" w:hint="cs"/>
          <w:sz w:val="28"/>
          <w:szCs w:val="28"/>
          <w:rtl/>
          <w:lang w:bidi="ar-DZ"/>
        </w:rPr>
        <w:t>ال</w:t>
      </w:r>
      <w:r w:rsidRPr="004F0B00">
        <w:rPr>
          <w:rFonts w:ascii="Sakkal Majalla" w:hAnsi="Sakkal Majalla" w:cs="Sakkal Majalla"/>
          <w:sz w:val="28"/>
          <w:szCs w:val="28"/>
          <w:rtl/>
          <w:lang w:bidi="ar-DZ"/>
        </w:rPr>
        <w:t>واضحة في كيفية اتباع الاتحاد الأوروبي والمملكة المتحدة لنهج تنظيمية</w:t>
      </w:r>
      <w:r>
        <w:rPr>
          <w:rFonts w:ascii="Sakkal Majalla" w:hAnsi="Sakkal Majalla" w:cs="Sakkal Majalla" w:hint="cs"/>
          <w:sz w:val="28"/>
          <w:szCs w:val="28"/>
          <w:rtl/>
          <w:lang w:bidi="ar-DZ"/>
        </w:rPr>
        <w:t xml:space="preserve"> واشرافية</w:t>
      </w:r>
      <w:r w:rsidRPr="004F0B00">
        <w:rPr>
          <w:rFonts w:ascii="Sakkal Majalla" w:hAnsi="Sakkal Majalla" w:cs="Sakkal Majalla"/>
          <w:sz w:val="28"/>
          <w:szCs w:val="28"/>
          <w:rtl/>
          <w:lang w:bidi="ar-DZ"/>
        </w:rPr>
        <w:t xml:space="preserve"> تجاه نمو</w:t>
      </w:r>
      <w:r>
        <w:rPr>
          <w:rFonts w:ascii="Sakkal Majalla" w:hAnsi="Sakkal Majalla" w:cs="Sakkal Majalla" w:hint="cs"/>
          <w:sz w:val="28"/>
          <w:szCs w:val="28"/>
          <w:rtl/>
          <w:lang w:bidi="ar-DZ"/>
        </w:rPr>
        <w:t xml:space="preserve"> التكنولوجيا </w:t>
      </w:r>
      <w:r w:rsidRPr="004F0B00">
        <w:rPr>
          <w:rFonts w:ascii="Sakkal Majalla" w:hAnsi="Sakkal Majalla" w:cs="Sakkal Majalla"/>
          <w:sz w:val="28"/>
          <w:szCs w:val="28"/>
          <w:rtl/>
          <w:lang w:bidi="ar-DZ"/>
        </w:rPr>
        <w:t>الإشرافية. ومع ذلك، هناك العديد من السمات المشتركة بين النهجين.</w:t>
      </w:r>
      <w:r>
        <w:rPr>
          <w:rFonts w:ascii="Sakkal Majalla" w:hAnsi="Sakkal Majalla" w:cs="Sakkal Majalla" w:hint="cs"/>
          <w:sz w:val="28"/>
          <w:szCs w:val="28"/>
          <w:rtl/>
          <w:lang w:bidi="ar-DZ"/>
        </w:rPr>
        <w:t xml:space="preserve"> كما توصلت الدراسة إلى ضرورة تشجيع مختبرات الابتكار ووضع أسس قانونية صلبة وواضحة لل</w:t>
      </w:r>
      <w:r w:rsidRPr="004F0B00">
        <w:rPr>
          <w:rFonts w:ascii="Sakkal Majalla" w:hAnsi="Sakkal Majalla" w:cs="Sakkal Majalla"/>
          <w:sz w:val="28"/>
          <w:szCs w:val="28"/>
          <w:rtl/>
          <w:lang w:bidi="ar-DZ"/>
        </w:rPr>
        <w:t>تكنولوجيا الإشرافية.</w:t>
      </w:r>
    </w:p>
    <w:p w14:paraId="715E2283" w14:textId="77777777" w:rsidR="005330FB" w:rsidRDefault="005330FB" w:rsidP="00616FA9">
      <w:pPr>
        <w:spacing w:line="276" w:lineRule="auto"/>
        <w:jc w:val="both"/>
        <w:rPr>
          <w:rFonts w:ascii="Sakkal Majalla" w:hAnsi="Sakkal Majalla" w:cs="Sakkal Majalla"/>
          <w:sz w:val="28"/>
          <w:szCs w:val="28"/>
          <w:rtl/>
          <w:lang w:bidi="ar-DZ"/>
        </w:rPr>
      </w:pPr>
      <w:r w:rsidRPr="004660FD">
        <w:rPr>
          <w:rFonts w:ascii="Sakkal Majalla" w:hAnsi="Sakkal Majalla" w:cs="Sakkal Majalla"/>
          <w:b/>
          <w:bCs/>
          <w:sz w:val="28"/>
          <w:szCs w:val="28"/>
          <w:u w:val="single"/>
          <w:rtl/>
          <w:lang w:bidi="ar-DZ"/>
        </w:rPr>
        <w:t>الكلمات المفتاحية</w:t>
      </w:r>
      <w:r w:rsidRPr="004660FD">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تكنولوجيا مالية؛ تكنولوجيا الاشراف؛ إدارة المخاطر؛ الاتحاد الأوروبي؛ إنجلترا.</w:t>
      </w:r>
    </w:p>
    <w:p w14:paraId="435F0130" w14:textId="77777777" w:rsidR="005330FB" w:rsidRPr="009535CB" w:rsidRDefault="005330FB" w:rsidP="00734C08">
      <w:pPr>
        <w:bidi w:val="0"/>
        <w:spacing w:line="276" w:lineRule="auto"/>
        <w:rPr>
          <w:rFonts w:asciiTheme="majorBidi" w:hAnsiTheme="majorBidi" w:cstheme="majorBidi"/>
          <w:b/>
          <w:bCs/>
          <w:sz w:val="28"/>
          <w:szCs w:val="28"/>
          <w:u w:val="single"/>
          <w:lang w:bidi="ar-DZ"/>
        </w:rPr>
      </w:pPr>
      <w:r w:rsidRPr="009535CB">
        <w:rPr>
          <w:rFonts w:asciiTheme="majorBidi" w:hAnsiTheme="majorBidi" w:cstheme="majorBidi"/>
          <w:b/>
          <w:bCs/>
          <w:u w:val="single"/>
          <w:lang w:bidi="ar-DZ"/>
        </w:rPr>
        <w:t>Abstract</w:t>
      </w:r>
    </w:p>
    <w:p w14:paraId="2EBD632F" w14:textId="77777777" w:rsidR="005330FB" w:rsidRPr="009C65C3" w:rsidRDefault="005330FB" w:rsidP="00734C08">
      <w:pPr>
        <w:bidi w:val="0"/>
        <w:spacing w:line="276" w:lineRule="auto"/>
        <w:ind w:firstLine="567"/>
        <w:jc w:val="both"/>
        <w:rPr>
          <w:rFonts w:asciiTheme="majorBidi" w:hAnsiTheme="majorBidi" w:cstheme="majorBidi"/>
          <w:i/>
          <w:iCs/>
          <w:sz w:val="28"/>
          <w:szCs w:val="28"/>
          <w:lang w:bidi="ar-DZ"/>
        </w:rPr>
      </w:pPr>
      <w:r w:rsidRPr="009C65C3">
        <w:rPr>
          <w:rFonts w:asciiTheme="majorBidi" w:hAnsiTheme="majorBidi" w:cstheme="majorBidi"/>
          <w:i/>
          <w:iCs/>
          <w:sz w:val="28"/>
          <w:szCs w:val="28"/>
          <w:lang w:bidi="ar-DZ"/>
        </w:rPr>
        <w:t xml:space="preserve">This study aimed </w:t>
      </w:r>
      <w:r>
        <w:rPr>
          <w:rFonts w:asciiTheme="majorBidi" w:hAnsiTheme="majorBidi" w:cstheme="majorBidi"/>
          <w:i/>
          <w:iCs/>
          <w:sz w:val="28"/>
          <w:szCs w:val="28"/>
          <w:lang w:bidi="ar-DZ"/>
        </w:rPr>
        <w:t>clarify</w:t>
      </w:r>
      <w:r w:rsidRPr="009C65C3">
        <w:rPr>
          <w:rFonts w:asciiTheme="majorBidi" w:hAnsiTheme="majorBidi" w:cstheme="majorBidi"/>
          <w:i/>
          <w:iCs/>
          <w:sz w:val="28"/>
          <w:szCs w:val="28"/>
          <w:lang w:bidi="ar-DZ"/>
        </w:rPr>
        <w:t xml:space="preserve"> the </w:t>
      </w:r>
      <w:r>
        <w:rPr>
          <w:rFonts w:asciiTheme="majorBidi" w:hAnsiTheme="majorBidi" w:cstheme="majorBidi"/>
          <w:i/>
          <w:iCs/>
          <w:sz w:val="28"/>
          <w:szCs w:val="28"/>
          <w:lang w:bidi="ar-DZ"/>
        </w:rPr>
        <w:t>role of Supervisory Technology</w:t>
      </w:r>
      <w:r w:rsidRPr="009C65C3">
        <w:rPr>
          <w:rFonts w:asciiTheme="majorBidi" w:hAnsiTheme="majorBidi" w:cstheme="majorBidi"/>
          <w:i/>
          <w:iCs/>
          <w:sz w:val="28"/>
          <w:szCs w:val="28"/>
          <w:lang w:bidi="ar-DZ"/>
        </w:rPr>
        <w:t xml:space="preserve"> </w:t>
      </w:r>
      <w:r>
        <w:rPr>
          <w:rFonts w:asciiTheme="majorBidi" w:hAnsiTheme="majorBidi" w:cstheme="majorBidi"/>
          <w:i/>
          <w:iCs/>
          <w:sz w:val="28"/>
          <w:szCs w:val="28"/>
          <w:lang w:bidi="ar-DZ"/>
        </w:rPr>
        <w:t>in financial systems risk management</w:t>
      </w:r>
      <w:r w:rsidRPr="009C65C3">
        <w:rPr>
          <w:rFonts w:asciiTheme="majorBidi" w:hAnsiTheme="majorBidi" w:cstheme="majorBidi"/>
          <w:i/>
          <w:iCs/>
          <w:sz w:val="28"/>
          <w:szCs w:val="28"/>
          <w:lang w:bidi="ar-DZ"/>
        </w:rPr>
        <w:t xml:space="preserve"> by </w:t>
      </w:r>
      <w:r>
        <w:rPr>
          <w:rFonts w:asciiTheme="majorBidi" w:hAnsiTheme="majorBidi" w:cstheme="majorBidi"/>
          <w:i/>
          <w:iCs/>
          <w:sz w:val="28"/>
          <w:szCs w:val="28"/>
          <w:lang w:bidi="ar-DZ"/>
        </w:rPr>
        <w:t>studying</w:t>
      </w:r>
      <w:r w:rsidRPr="009C65C3">
        <w:rPr>
          <w:rFonts w:asciiTheme="majorBidi" w:hAnsiTheme="majorBidi" w:cstheme="majorBidi"/>
          <w:i/>
          <w:iCs/>
          <w:sz w:val="28"/>
          <w:szCs w:val="28"/>
          <w:lang w:bidi="ar-DZ"/>
        </w:rPr>
        <w:t xml:space="preserve"> the experiences of both the European Union and the United Kingdom using a descriptive-analytical approach, drawing on reports issued by the European Banking Authority and the Bank of England, especially given the relatively limited sources of empirical data.</w:t>
      </w:r>
    </w:p>
    <w:p w14:paraId="3292C643" w14:textId="77777777" w:rsidR="005330FB" w:rsidRPr="009C65C3" w:rsidRDefault="005330FB" w:rsidP="00734C08">
      <w:pPr>
        <w:bidi w:val="0"/>
        <w:spacing w:line="276" w:lineRule="auto"/>
        <w:ind w:firstLine="567"/>
        <w:jc w:val="both"/>
        <w:rPr>
          <w:rFonts w:asciiTheme="majorBidi" w:hAnsiTheme="majorBidi" w:cstheme="majorBidi"/>
          <w:i/>
          <w:iCs/>
          <w:sz w:val="28"/>
          <w:szCs w:val="28"/>
          <w:lang w:bidi="ar-DZ"/>
        </w:rPr>
      </w:pPr>
      <w:r w:rsidRPr="009C65C3">
        <w:rPr>
          <w:rFonts w:asciiTheme="majorBidi" w:hAnsiTheme="majorBidi" w:cstheme="majorBidi"/>
          <w:i/>
          <w:iCs/>
          <w:sz w:val="28"/>
          <w:szCs w:val="28"/>
          <w:lang w:bidi="ar-DZ"/>
        </w:rPr>
        <w:t>The study reached a number of conclusions, perhaps the most important of which are the clear differences in the regulatory and supervisory approaches adopted by the European Union and the United Kingdom towards the growth of supervisory technology. However, there are many common features between the two approaches. The study also concluded that it is necessary to encourage innovation labs and establish solid and clear legal foundations for supervisory technology.</w:t>
      </w:r>
    </w:p>
    <w:p w14:paraId="43CCB70E" w14:textId="77777777" w:rsidR="005330FB" w:rsidRPr="00D1174F" w:rsidRDefault="005330FB" w:rsidP="00734C08">
      <w:pPr>
        <w:bidi w:val="0"/>
        <w:spacing w:line="276" w:lineRule="auto"/>
        <w:jc w:val="both"/>
        <w:rPr>
          <w:rFonts w:ascii="Sakkal Majalla" w:hAnsi="Sakkal Majalla" w:cs="Sakkal Majalla"/>
          <w:b/>
          <w:bCs/>
          <w:sz w:val="32"/>
          <w:szCs w:val="32"/>
          <w:rtl/>
        </w:rPr>
      </w:pPr>
      <w:r w:rsidRPr="009C65C3">
        <w:rPr>
          <w:rFonts w:asciiTheme="majorBidi" w:hAnsiTheme="majorBidi" w:cstheme="majorBidi"/>
          <w:b/>
          <w:bCs/>
          <w:i/>
          <w:iCs/>
          <w:sz w:val="28"/>
          <w:szCs w:val="28"/>
          <w:u w:val="single"/>
          <w:lang w:bidi="ar-DZ"/>
        </w:rPr>
        <w:t>Keywords</w:t>
      </w:r>
      <w:r w:rsidRPr="009C65C3">
        <w:rPr>
          <w:rFonts w:asciiTheme="majorBidi" w:hAnsiTheme="majorBidi" w:cstheme="majorBidi"/>
          <w:i/>
          <w:iCs/>
          <w:sz w:val="28"/>
          <w:szCs w:val="28"/>
          <w:lang w:bidi="ar-DZ"/>
        </w:rPr>
        <w:t>: Fintech; supervisory technology; risk management; European Union; England</w:t>
      </w:r>
      <w:r>
        <w:rPr>
          <w:rFonts w:asciiTheme="majorBidi" w:hAnsiTheme="majorBidi" w:cstheme="majorBidi" w:hint="cs"/>
          <w:i/>
          <w:iCs/>
          <w:sz w:val="28"/>
          <w:szCs w:val="28"/>
          <w:rtl/>
          <w:lang w:bidi="ar-DZ"/>
        </w:rPr>
        <w:t>.</w:t>
      </w:r>
    </w:p>
    <w:p w14:paraId="3C156EFF" w14:textId="77777777" w:rsidR="005330FB" w:rsidRDefault="005330FB"/>
    <w:sectPr w:rsidR="005330FB" w:rsidSect="005330FB">
      <w:headerReference w:type="default" r:id="rId6"/>
      <w:footnotePr>
        <w:numRestart w:val="eachPage"/>
      </w:footnotePr>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275E" w14:textId="77777777" w:rsidR="00DC7417" w:rsidRDefault="00DC7417">
      <w:pPr>
        <w:spacing w:after="0" w:line="240" w:lineRule="auto"/>
      </w:pPr>
      <w:r>
        <w:separator/>
      </w:r>
    </w:p>
  </w:endnote>
  <w:endnote w:type="continuationSeparator" w:id="0">
    <w:p w14:paraId="152AB855" w14:textId="77777777" w:rsidR="00DC7417" w:rsidRDefault="00DC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36EE" w14:textId="77777777" w:rsidR="00DC7417" w:rsidRDefault="00DC7417">
      <w:pPr>
        <w:spacing w:after="0" w:line="240" w:lineRule="auto"/>
      </w:pPr>
      <w:r>
        <w:separator/>
      </w:r>
    </w:p>
  </w:footnote>
  <w:footnote w:type="continuationSeparator" w:id="0">
    <w:p w14:paraId="0FEC29E4" w14:textId="77777777" w:rsidR="00DC7417" w:rsidRDefault="00DC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DD18" w14:textId="77777777" w:rsidR="00DC7417" w:rsidRDefault="00DC7417" w:rsidP="0084602B">
    <w:pPr>
      <w:pStyle w:val="En-tte"/>
    </w:pPr>
    <w:r w:rsidRPr="007A2E57">
      <w:rPr>
        <w:noProof/>
        <w:lang w:val="fr-FR" w:eastAsia="fr-FR"/>
      </w:rPr>
      <mc:AlternateContent>
        <mc:Choice Requires="wps">
          <w:drawing>
            <wp:anchor distT="0" distB="0" distL="114300" distR="114300" simplePos="0" relativeHeight="251660288" behindDoc="0" locked="0" layoutInCell="1" allowOverlap="1" wp14:anchorId="34FDB576" wp14:editId="042736D4">
              <wp:simplePos x="0" y="0"/>
              <wp:positionH relativeFrom="margin">
                <wp:posOffset>4949190</wp:posOffset>
              </wp:positionH>
              <wp:positionV relativeFrom="paragraph">
                <wp:posOffset>-189865</wp:posOffset>
              </wp:positionV>
              <wp:extent cx="1657350" cy="447675"/>
              <wp:effectExtent l="0" t="0" r="0" b="9525"/>
              <wp:wrapNone/>
              <wp:docPr id="106" name="Rectangle 106"/>
              <wp:cNvGraphicFramePr/>
              <a:graphic xmlns:a="http://schemas.openxmlformats.org/drawingml/2006/main">
                <a:graphicData uri="http://schemas.microsoft.com/office/word/2010/wordprocessingShape">
                  <wps:wsp>
                    <wps:cNvSpPr/>
                    <wps:spPr>
                      <a:xfrm>
                        <a:off x="0" y="0"/>
                        <a:ext cx="1657350"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976F33" w14:textId="77777777" w:rsidR="00DC7417" w:rsidRPr="007A2E57" w:rsidRDefault="00DC7417" w:rsidP="007A2E57">
                          <w:pPr>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الملخص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DB576" id="Rectangle 106" o:spid="_x0000_s1026" style="position:absolute;margin-left:389.7pt;margin-top:-14.95pt;width:130.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" filled="f" stroked="f">
              <v:textbox>
                <w:txbxContent>
                  <w:p w14:paraId="1F976F33" w14:textId="77777777" w:rsidR="00DC7417" w:rsidRPr="007A2E57" w:rsidRDefault="00DC7417" w:rsidP="007A2E57">
                    <w:pPr>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الملخص</w:t>
                    </w:r>
                  </w:p>
                </w:txbxContent>
              </v:textbox>
              <w10:wrap anchorx="margin"/>
            </v:rect>
          </w:pict>
        </mc:Fallback>
      </mc:AlternateContent>
    </w:r>
    <w:r w:rsidRPr="007A2E57">
      <w:rPr>
        <w:noProof/>
        <w:lang w:val="fr-FR" w:eastAsia="fr-FR"/>
      </w:rPr>
      <mc:AlternateContent>
        <mc:Choice Requires="wpg">
          <w:drawing>
            <wp:anchor distT="0" distB="0" distL="114300" distR="114300" simplePos="0" relativeHeight="251659264" behindDoc="0" locked="0" layoutInCell="1" allowOverlap="1" wp14:anchorId="6F6F1703" wp14:editId="13D2D08B">
              <wp:simplePos x="0" y="0"/>
              <wp:positionH relativeFrom="margin">
                <wp:posOffset>-396240</wp:posOffset>
              </wp:positionH>
              <wp:positionV relativeFrom="paragraph">
                <wp:posOffset>-163195</wp:posOffset>
              </wp:positionV>
              <wp:extent cx="6829425" cy="426085"/>
              <wp:effectExtent l="0" t="0" r="28575" b="0"/>
              <wp:wrapNone/>
              <wp:docPr id="10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426085"/>
                        <a:chOff x="-325949" y="-157846"/>
                        <a:chExt cx="7167439" cy="506022"/>
                      </a:xfrm>
                    </wpg:grpSpPr>
                    <wps:wsp>
                      <wps:cNvPr id="104" name="Graphic 25"/>
                      <wps:cNvSpPr/>
                      <wps:spPr>
                        <a:xfrm>
                          <a:off x="-325949" y="-157846"/>
                          <a:ext cx="1431854" cy="506022"/>
                        </a:xfrm>
                        <a:custGeom>
                          <a:avLst/>
                          <a:gdLst/>
                          <a:ahLst/>
                          <a:cxnLst/>
                          <a:rect l="l" t="t" r="r" b="b"/>
                          <a:pathLst>
                            <a:path w="1283970" h="336550">
                              <a:moveTo>
                                <a:pt x="1283970" y="0"/>
                              </a:moveTo>
                              <a:lnTo>
                                <a:pt x="0" y="0"/>
                              </a:lnTo>
                              <a:lnTo>
                                <a:pt x="0" y="336550"/>
                              </a:lnTo>
                              <a:lnTo>
                                <a:pt x="1283970" y="336550"/>
                              </a:lnTo>
                              <a:lnTo>
                                <a:pt x="1283970" y="0"/>
                              </a:lnTo>
                              <a:close/>
                            </a:path>
                          </a:pathLst>
                        </a:custGeom>
                        <a:solidFill>
                          <a:srgbClr val="12426C"/>
                        </a:solidFill>
                      </wps:spPr>
                      <wps:bodyPr wrap="square" lIns="0" tIns="0" rIns="0" bIns="0" rtlCol="0">
                        <a:prstTxWarp prst="textNoShape">
                          <a:avLst/>
                        </a:prstTxWarp>
                        <a:noAutofit/>
                      </wps:bodyPr>
                    </wps:wsp>
                    <wps:wsp>
                      <wps:cNvPr id="105" name="Graphic 28"/>
                      <wps:cNvSpPr/>
                      <wps:spPr>
                        <a:xfrm>
                          <a:off x="995680" y="324484"/>
                          <a:ext cx="5845810" cy="1270"/>
                        </a:xfrm>
                        <a:custGeom>
                          <a:avLst/>
                          <a:gdLst/>
                          <a:ahLst/>
                          <a:cxnLst/>
                          <a:rect l="l" t="t" r="r" b="b"/>
                          <a:pathLst>
                            <a:path w="5845810">
                              <a:moveTo>
                                <a:pt x="0" y="0"/>
                              </a:moveTo>
                              <a:lnTo>
                                <a:pt x="5845810" y="0"/>
                              </a:lnTo>
                            </a:path>
                          </a:pathLst>
                        </a:custGeom>
                        <a:ln w="28575">
                          <a:solidFill>
                            <a:srgbClr val="12426C"/>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EA5544" id="Group 20" o:spid="_x0000_s1026" style="position:absolute;left:0;text-align:left;margin-left:-31.2pt;margin-top:-12.85pt;width:537.75pt;height:33.55pt;z-index:251659264;mso-position-horizontal-relative:margin;mso-width-relative:margin;mso-height-relative:margin" coordorigin="-3259,-1578" coordsize="71674,506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">
              <v:shape id="Graphic 25" o:spid="_x0000_s1027" style="position:absolute;left:-3259;top:-1578;width:14318;height:5059;visibility:visible;mso-wrap-style:square;v-text-anchor:top" coordsize="1283970,3365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" path="m1283970,l,,,336550r1283970,l1283970,xe" fillcolor="#12426c" stroked="f">
                <v:path arrowok="t"/>
              </v:shape>
              <v:shape id="Graphic 28" o:spid="_x0000_s1028" style="position:absolute;left:9956;top:3244;width:58458;height:13;visibility:visible;mso-wrap-style:square;v-text-anchor:top" coordsize="5845810,12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" path="m,l5845810,e" filled="f" strokecolor="#12426c" strokeweight="2.25pt">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FB"/>
    <w:rsid w:val="0000552A"/>
    <w:rsid w:val="00421AC0"/>
    <w:rsid w:val="005330FB"/>
    <w:rsid w:val="00546F47"/>
    <w:rsid w:val="005B670F"/>
    <w:rsid w:val="00734C08"/>
    <w:rsid w:val="008109D5"/>
    <w:rsid w:val="00D611EC"/>
    <w:rsid w:val="00DC7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31FCF0"/>
  <w15:chartTrackingRefBased/>
  <w15:docId w15:val="{41F5F3D1-1568-B54E-9E0B-7D481C60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533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3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30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30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30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30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0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0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0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0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30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30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30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30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30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0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0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0FB"/>
    <w:rPr>
      <w:rFonts w:eastAsiaTheme="majorEastAsia" w:cstheme="majorBidi"/>
      <w:color w:val="272727" w:themeColor="text1" w:themeTint="D8"/>
    </w:rPr>
  </w:style>
  <w:style w:type="paragraph" w:styleId="Titre">
    <w:name w:val="Title"/>
    <w:basedOn w:val="Normal"/>
    <w:next w:val="Normal"/>
    <w:link w:val="TitreCar"/>
    <w:uiPriority w:val="10"/>
    <w:qFormat/>
    <w:rsid w:val="0053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0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0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0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0FB"/>
    <w:pPr>
      <w:spacing w:before="160"/>
      <w:jc w:val="center"/>
    </w:pPr>
    <w:rPr>
      <w:i/>
      <w:iCs/>
      <w:color w:val="404040" w:themeColor="text1" w:themeTint="BF"/>
    </w:rPr>
  </w:style>
  <w:style w:type="character" w:customStyle="1" w:styleId="CitationCar">
    <w:name w:val="Citation Car"/>
    <w:basedOn w:val="Policepardfaut"/>
    <w:link w:val="Citation"/>
    <w:uiPriority w:val="29"/>
    <w:rsid w:val="005330FB"/>
    <w:rPr>
      <w:i/>
      <w:iCs/>
      <w:color w:val="404040" w:themeColor="text1" w:themeTint="BF"/>
    </w:rPr>
  </w:style>
  <w:style w:type="paragraph" w:styleId="Paragraphedeliste">
    <w:name w:val="List Paragraph"/>
    <w:basedOn w:val="Normal"/>
    <w:uiPriority w:val="34"/>
    <w:qFormat/>
    <w:rsid w:val="005330FB"/>
    <w:pPr>
      <w:ind w:left="720"/>
      <w:contextualSpacing/>
    </w:pPr>
  </w:style>
  <w:style w:type="character" w:styleId="Accentuationintense">
    <w:name w:val="Intense Emphasis"/>
    <w:basedOn w:val="Policepardfaut"/>
    <w:uiPriority w:val="21"/>
    <w:qFormat/>
    <w:rsid w:val="005330FB"/>
    <w:rPr>
      <w:i/>
      <w:iCs/>
      <w:color w:val="0F4761" w:themeColor="accent1" w:themeShade="BF"/>
    </w:rPr>
  </w:style>
  <w:style w:type="paragraph" w:styleId="Citationintense">
    <w:name w:val="Intense Quote"/>
    <w:basedOn w:val="Normal"/>
    <w:next w:val="Normal"/>
    <w:link w:val="CitationintenseCar"/>
    <w:uiPriority w:val="30"/>
    <w:qFormat/>
    <w:rsid w:val="00533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30FB"/>
    <w:rPr>
      <w:i/>
      <w:iCs/>
      <w:color w:val="0F4761" w:themeColor="accent1" w:themeShade="BF"/>
    </w:rPr>
  </w:style>
  <w:style w:type="character" w:styleId="Rfrenceintense">
    <w:name w:val="Intense Reference"/>
    <w:basedOn w:val="Policepardfaut"/>
    <w:uiPriority w:val="32"/>
    <w:qFormat/>
    <w:rsid w:val="005330FB"/>
    <w:rPr>
      <w:b/>
      <w:bCs/>
      <w:smallCaps/>
      <w:color w:val="0F4761" w:themeColor="accent1" w:themeShade="BF"/>
      <w:spacing w:val="5"/>
    </w:rPr>
  </w:style>
  <w:style w:type="paragraph" w:styleId="En-tte">
    <w:name w:val="header"/>
    <w:basedOn w:val="Normal"/>
    <w:link w:val="En-tteCar"/>
    <w:uiPriority w:val="99"/>
    <w:unhideWhenUsed/>
    <w:qFormat/>
    <w:rsid w:val="005330FB"/>
    <w:pPr>
      <w:widowControl w:val="0"/>
      <w:tabs>
        <w:tab w:val="center" w:pos="4536"/>
        <w:tab w:val="right" w:pos="9072"/>
      </w:tabs>
      <w:autoSpaceDE w:val="0"/>
      <w:autoSpaceDN w:val="0"/>
      <w:bidi w:val="0"/>
      <w:spacing w:after="0" w:line="240" w:lineRule="auto"/>
    </w:pPr>
    <w:rPr>
      <w:rFonts w:ascii="Tahoma" w:eastAsia="Tahoma" w:hAnsi="Tahoma" w:cs="Tahoma"/>
      <w:kern w:val="0"/>
      <w:sz w:val="22"/>
      <w:szCs w:val="22"/>
      <w14:ligatures w14:val="none"/>
    </w:rPr>
  </w:style>
  <w:style w:type="character" w:customStyle="1" w:styleId="En-tteCar">
    <w:name w:val="En-tête Car"/>
    <w:basedOn w:val="Policepardfaut"/>
    <w:link w:val="En-tte"/>
    <w:uiPriority w:val="99"/>
    <w:qFormat/>
    <w:rsid w:val="005330FB"/>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213658023372</dc:creator>
  <cp:keywords/>
  <dc:description/>
  <cp:lastModifiedBy>213667823180</cp:lastModifiedBy>
  <cp:revision>2</cp:revision>
  <dcterms:created xsi:type="dcterms:W3CDTF">2025-07-14T16:34:00Z</dcterms:created>
  <dcterms:modified xsi:type="dcterms:W3CDTF">2025-07-14T16:34:00Z</dcterms:modified>
</cp:coreProperties>
</file>