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17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6290"/>
        <w:gridCol w:w="3010"/>
      </w:tblGrid>
      <w:tr w:rsidR="00A92BFA" w:rsidRPr="0064699E" w14:paraId="2DDF7BC6" w14:textId="77777777" w:rsidTr="00A92BFA">
        <w:trPr>
          <w:trHeight w:val="1037"/>
        </w:trPr>
        <w:tc>
          <w:tcPr>
            <w:tcW w:w="2417" w:type="dxa"/>
          </w:tcPr>
          <w:p w14:paraId="37E3DFED" w14:textId="77777777" w:rsidR="00A92BFA" w:rsidRPr="0064699E" w:rsidRDefault="00A92BFA" w:rsidP="00BC3730">
            <w:pPr>
              <w:tabs>
                <w:tab w:val="left" w:pos="795"/>
                <w:tab w:val="left" w:pos="5325"/>
                <w:tab w:val="right" w:pos="11267"/>
              </w:tabs>
              <w:bidi w:val="0"/>
              <w:spacing w:before="60" w:after="60"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bookmarkStart w:id="0" w:name="_Hlk198129333"/>
            <w:bookmarkEnd w:id="0"/>
            <w:r w:rsidRPr="0064699E">
              <w:rPr>
                <w:rFonts w:asciiTheme="majorBidi" w:hAnsiTheme="majorBidi" w:cstheme="majorBidi"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4592F37C" wp14:editId="3193A733">
                  <wp:extent cx="1169670" cy="933450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0" w:type="dxa"/>
          </w:tcPr>
          <w:p w14:paraId="3C124D88" w14:textId="77777777" w:rsidR="00A92BFA" w:rsidRPr="0064699E" w:rsidRDefault="00A92BFA" w:rsidP="00BC3730">
            <w:pPr>
              <w:bidi w:val="0"/>
              <w:spacing w:before="60" w:after="60"/>
              <w:jc w:val="center"/>
              <w:rPr>
                <w:rStyle w:val="Strong"/>
                <w:rFonts w:asciiTheme="majorBidi" w:hAnsiTheme="majorBidi" w:cstheme="majorBidi"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الجمهورية الجزائرية الديمقراطية الشعبية</w:t>
            </w:r>
          </w:p>
          <w:p w14:paraId="25352A5B" w14:textId="77777777" w:rsidR="00A92BFA" w:rsidRPr="0064699E" w:rsidRDefault="00A92BFA" w:rsidP="00BC3730">
            <w:pPr>
              <w:bidi w:val="0"/>
              <w:spacing w:before="60" w:after="6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64699E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People's Democratic Republic of Algeria</w:t>
            </w:r>
            <w:bookmarkStart w:id="1" w:name="_Toc198133881"/>
            <w:bookmarkStart w:id="2" w:name="_Toc198134152"/>
            <w:bookmarkStart w:id="3" w:name="_Toc198202919"/>
            <w:bookmarkStart w:id="4" w:name="_Toc198203365"/>
            <w:bookmarkStart w:id="5" w:name="_Toc198203546"/>
            <w:bookmarkStart w:id="6" w:name="_Toc198204162"/>
            <w:bookmarkStart w:id="7" w:name="_Toc198209688"/>
            <w:r w:rsidRPr="0064699E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    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4699E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Ministry of Higher Education and Scientific Research</w:t>
            </w:r>
          </w:p>
        </w:tc>
        <w:tc>
          <w:tcPr>
            <w:tcW w:w="3010" w:type="dxa"/>
          </w:tcPr>
          <w:p w14:paraId="03A6B7A2" w14:textId="77777777" w:rsidR="00A92BFA" w:rsidRPr="0064699E" w:rsidRDefault="00A92BFA" w:rsidP="00BC3730">
            <w:pPr>
              <w:tabs>
                <w:tab w:val="left" w:pos="795"/>
                <w:tab w:val="left" w:pos="5325"/>
                <w:tab w:val="right" w:pos="11267"/>
              </w:tabs>
              <w:bidi w:val="0"/>
              <w:spacing w:before="60" w:after="60" w:line="360" w:lineRule="auto"/>
              <w:rPr>
                <w:rFonts w:asciiTheme="majorBidi" w:hAnsiTheme="majorBidi" w:cstheme="majorBidi"/>
                <w:bCs/>
                <w:sz w:val="24"/>
                <w:szCs w:val="24"/>
                <w:lang w:bidi="ar-DZ"/>
              </w:rPr>
            </w:pPr>
            <w:r w:rsidRPr="0064699E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0882307D" wp14:editId="058AE08A">
                  <wp:extent cx="1663065" cy="857250"/>
                  <wp:effectExtent l="0" t="0" r="0" b="0"/>
                  <wp:docPr id="2" name="Image 1" descr="F:\CSFT\LOGO UFAS1 2018- définitif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CSFT\LOGO UFAS1 2018- définitif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824" cy="868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BFA" w:rsidRPr="0064699E" w14:paraId="0D3A426D" w14:textId="77777777" w:rsidTr="00A92BFA">
        <w:trPr>
          <w:trHeight w:val="718"/>
        </w:trPr>
        <w:tc>
          <w:tcPr>
            <w:tcW w:w="11717" w:type="dxa"/>
            <w:gridSpan w:val="3"/>
          </w:tcPr>
          <w:p w14:paraId="719C1E10" w14:textId="77777777" w:rsidR="00A92BFA" w:rsidRPr="0064699E" w:rsidRDefault="00A92BFA" w:rsidP="00BC3730">
            <w:pPr>
              <w:bidi w:val="0"/>
              <w:spacing w:before="120" w:after="12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bookmarkStart w:id="8" w:name="_Toc198133882"/>
            <w:bookmarkStart w:id="9" w:name="_Toc198134153"/>
            <w:bookmarkStart w:id="10" w:name="_Toc198202920"/>
            <w:bookmarkStart w:id="11" w:name="_Toc198203366"/>
            <w:bookmarkStart w:id="12" w:name="_Toc198203547"/>
            <w:bookmarkStart w:id="13" w:name="_Toc198204163"/>
            <w:bookmarkStart w:id="14" w:name="_Toc198209689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bookmarkStart w:id="15" w:name="_Toc199515307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FERHAT ABBAS UNIVERSITY - SETIF1</w:t>
            </w: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  <w:t>FACULTY OF SCIENCES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  <w:tr w:rsidR="00A92BFA" w:rsidRPr="0064699E" w14:paraId="397CF3EC" w14:textId="77777777" w:rsidTr="00A92B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073"/>
        </w:trPr>
        <w:tc>
          <w:tcPr>
            <w:tcW w:w="11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1FC20" w14:textId="77777777" w:rsidR="00A92BFA" w:rsidRPr="0064699E" w:rsidRDefault="00A92BFA" w:rsidP="00537AFF">
            <w:pPr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Submitted to the Department of Physics</w:t>
            </w:r>
          </w:p>
          <w:p w14:paraId="1D4217B1" w14:textId="77777777" w:rsidR="00A92BFA" w:rsidRPr="0064699E" w:rsidRDefault="00A92BFA" w:rsidP="00537AFF">
            <w:pPr>
              <w:spacing w:before="24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 the obtention of</w:t>
            </w:r>
          </w:p>
          <w:p w14:paraId="0B93A065" w14:textId="77777777" w:rsidR="00A92BFA" w:rsidRPr="0064699E" w:rsidRDefault="00A92BFA" w:rsidP="00537AFF">
            <w:pPr>
              <w:spacing w:before="24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Master Diploma</w:t>
            </w:r>
          </w:p>
        </w:tc>
      </w:tr>
      <w:tr w:rsidR="00A92BFA" w:rsidRPr="0064699E" w14:paraId="726B57BB" w14:textId="77777777" w:rsidTr="00A92B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5"/>
        </w:trPr>
        <w:tc>
          <w:tcPr>
            <w:tcW w:w="11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A6652D" w14:textId="77777777" w:rsidR="00A92BFA" w:rsidRPr="0064699E" w:rsidRDefault="00A92BFA" w:rsidP="00537AFF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Field: MATTER SCIENCES </w:t>
            </w:r>
          </w:p>
          <w:p w14:paraId="4F842AEA" w14:textId="77777777" w:rsidR="00A92BFA" w:rsidRPr="0064699E" w:rsidRDefault="00A92BFA" w:rsidP="00537AFF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Stream: PHYSICS </w:t>
            </w:r>
          </w:p>
          <w:p w14:paraId="1C6F3C5C" w14:textId="77777777" w:rsidR="00A92BFA" w:rsidRPr="0064699E" w:rsidRDefault="00A92BFA" w:rsidP="00537AFF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Specialty: MEDICAL PHYSICS </w:t>
            </w:r>
          </w:p>
        </w:tc>
      </w:tr>
      <w:tr w:rsidR="00A92BFA" w:rsidRPr="0064699E" w14:paraId="0CF27DD1" w14:textId="77777777" w:rsidTr="00A92B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90"/>
        </w:trPr>
        <w:tc>
          <w:tcPr>
            <w:tcW w:w="11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1979F" w14:textId="77777777" w:rsidR="00A92BFA" w:rsidRPr="0064699E" w:rsidRDefault="00A92BFA" w:rsidP="00537AFF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By</w:t>
            </w:r>
          </w:p>
        </w:tc>
      </w:tr>
      <w:tr w:rsidR="00A92BFA" w:rsidRPr="0064699E" w14:paraId="7465EF88" w14:textId="77777777" w:rsidTr="00A92B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1603D" w14:textId="77777777" w:rsidR="00A92BFA" w:rsidRPr="0064699E" w:rsidRDefault="00A92BFA" w:rsidP="00537AFF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Mihoubi </w:t>
            </w:r>
            <w:proofErr w:type="spellStart"/>
            <w:r w:rsidRPr="0064699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Alaâ</w:t>
            </w:r>
            <w:proofErr w:type="spellEnd"/>
            <w:r w:rsidRPr="0064699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64699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Errehmane</w:t>
            </w:r>
            <w:proofErr w:type="spellEnd"/>
          </w:p>
        </w:tc>
      </w:tr>
      <w:tr w:rsidR="00A92BFA" w:rsidRPr="0064699E" w14:paraId="5D12A54A" w14:textId="77777777" w:rsidTr="00A92B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3196A" w14:textId="77777777" w:rsidR="00A92BFA" w:rsidRPr="0064699E" w:rsidRDefault="00A92BFA" w:rsidP="00537AFF">
            <w:pPr>
              <w:bidi w:val="0"/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bookmarkStart w:id="16" w:name="_Toc198133883"/>
            <w:bookmarkStart w:id="17" w:name="_Toc198134154"/>
            <w:bookmarkStart w:id="18" w:name="_Toc198202921"/>
            <w:bookmarkStart w:id="19" w:name="_Toc198203367"/>
            <w:bookmarkStart w:id="20" w:name="_Toc198203548"/>
            <w:bookmarkStart w:id="21" w:name="_Toc198204164"/>
            <w:bookmarkStart w:id="22" w:name="_Toc198209690"/>
            <w:bookmarkStart w:id="23" w:name="_Toc199515308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TOPIC: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</w:tr>
      <w:tr w:rsidR="00A92BFA" w:rsidRPr="00D51250" w14:paraId="72D5690A" w14:textId="77777777" w:rsidTr="00A92BF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86"/>
        </w:trPr>
        <w:tc>
          <w:tcPr>
            <w:tcW w:w="11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5BE10C" w14:textId="77777777" w:rsidR="00A92BFA" w:rsidRPr="00D51250" w:rsidRDefault="00A92BFA" w:rsidP="00537AFF">
            <w:pPr>
              <w:spacing w:before="24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</w:rPr>
            </w:pPr>
            <w:r w:rsidRPr="00D51250"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</w:rPr>
              <w:t>Optimizing Radioiodine Therapy: Comparison of Therapeutic Activity Calculation Models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36"/>
        <w:tblW w:w="10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1989"/>
        <w:gridCol w:w="3289"/>
        <w:gridCol w:w="2172"/>
      </w:tblGrid>
      <w:tr w:rsidR="00A92BFA" w:rsidRPr="0064699E" w14:paraId="1D47EAFE" w14:textId="77777777" w:rsidTr="00A92BFA">
        <w:trPr>
          <w:trHeight w:val="536"/>
        </w:trPr>
        <w:tc>
          <w:tcPr>
            <w:tcW w:w="10361" w:type="dxa"/>
            <w:gridSpan w:val="4"/>
            <w:vAlign w:val="center"/>
          </w:tcPr>
          <w:p w14:paraId="4F08BD03" w14:textId="77777777" w:rsidR="00A92BFA" w:rsidRPr="0064699E" w:rsidRDefault="00A92BFA" w:rsidP="00A92BFA">
            <w:pPr>
              <w:bidi w:val="0"/>
              <w:spacing w:after="120"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24" w:name="_Toc198133884"/>
            <w:bookmarkStart w:id="25" w:name="_Toc198134155"/>
            <w:bookmarkStart w:id="26" w:name="_Toc198202922"/>
            <w:bookmarkStart w:id="27" w:name="_Toc198203368"/>
            <w:bookmarkStart w:id="28" w:name="_Toc198203549"/>
            <w:bookmarkStart w:id="29" w:name="_Toc198204165"/>
            <w:bookmarkStart w:id="30" w:name="_Toc198209691"/>
            <w:bookmarkStart w:id="31" w:name="_Toc199515309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Sustained on the 24 / 05 / 2025 in front of the jury: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</w:tr>
      <w:tr w:rsidR="00A92BFA" w:rsidRPr="0064699E" w14:paraId="0B4DABE5" w14:textId="77777777" w:rsidTr="00A92BFA">
        <w:trPr>
          <w:trHeight w:val="469"/>
        </w:trPr>
        <w:tc>
          <w:tcPr>
            <w:tcW w:w="2911" w:type="dxa"/>
            <w:vAlign w:val="center"/>
          </w:tcPr>
          <w:p w14:paraId="6B0ED003" w14:textId="77777777" w:rsidR="00A92BFA" w:rsidRPr="0064699E" w:rsidRDefault="00A92BFA" w:rsidP="00A92BFA">
            <w:pPr>
              <w:bidi w:val="0"/>
              <w:spacing w:before="100" w:beforeAutospacing="1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CHAOUI Zine El Abidine</w:t>
            </w:r>
          </w:p>
        </w:tc>
        <w:tc>
          <w:tcPr>
            <w:tcW w:w="1989" w:type="dxa"/>
            <w:vAlign w:val="center"/>
          </w:tcPr>
          <w:p w14:paraId="324EF6B5" w14:textId="77777777" w:rsidR="00A92BFA" w:rsidRPr="0064699E" w:rsidRDefault="00A92BFA" w:rsidP="00A92BFA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proofErr w:type="spellEnd"/>
          </w:p>
        </w:tc>
        <w:tc>
          <w:tcPr>
            <w:tcW w:w="3289" w:type="dxa"/>
            <w:vAlign w:val="center"/>
          </w:tcPr>
          <w:p w14:paraId="1A5B3BB9" w14:textId="77777777" w:rsidR="00A92BFA" w:rsidRPr="0064699E" w:rsidRDefault="00A92BFA" w:rsidP="00A92BFA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Univ. Ferhat Abbas </w:t>
            </w:r>
            <w:proofErr w:type="spellStart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Sétif</w:t>
            </w:r>
            <w:proofErr w:type="spellEnd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172" w:type="dxa"/>
            <w:vAlign w:val="center"/>
          </w:tcPr>
          <w:p w14:paraId="390EE400" w14:textId="77777777" w:rsidR="00A92BFA" w:rsidRPr="0064699E" w:rsidRDefault="00A92BFA" w:rsidP="00A92BFA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Supervisor</w:t>
            </w:r>
          </w:p>
        </w:tc>
      </w:tr>
      <w:tr w:rsidR="00A92BFA" w:rsidRPr="0064699E" w14:paraId="44AEFD7B" w14:textId="77777777" w:rsidTr="00A92BFA">
        <w:trPr>
          <w:trHeight w:val="469"/>
        </w:trPr>
        <w:tc>
          <w:tcPr>
            <w:tcW w:w="2911" w:type="dxa"/>
            <w:vAlign w:val="center"/>
          </w:tcPr>
          <w:p w14:paraId="3DC82624" w14:textId="77777777" w:rsidR="00A92BFA" w:rsidRPr="0064699E" w:rsidRDefault="00A92BFA" w:rsidP="00A92BFA">
            <w:pPr>
              <w:bidi w:val="0"/>
              <w:spacing w:before="100" w:beforeAutospacing="1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BETKA Abd </w:t>
            </w:r>
            <w:proofErr w:type="spellStart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Errahim</w:t>
            </w:r>
            <w:proofErr w:type="spellEnd"/>
          </w:p>
        </w:tc>
        <w:tc>
          <w:tcPr>
            <w:tcW w:w="1989" w:type="dxa"/>
            <w:vAlign w:val="center"/>
          </w:tcPr>
          <w:p w14:paraId="426C0486" w14:textId="77777777" w:rsidR="00A92BFA" w:rsidRPr="0064699E" w:rsidRDefault="00A92BFA" w:rsidP="00A92BFA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</w:t>
            </w:r>
          </w:p>
        </w:tc>
        <w:tc>
          <w:tcPr>
            <w:tcW w:w="3289" w:type="dxa"/>
            <w:vAlign w:val="center"/>
          </w:tcPr>
          <w:p w14:paraId="44F67387" w14:textId="77777777" w:rsidR="00A92BFA" w:rsidRPr="0064699E" w:rsidRDefault="00A92BFA" w:rsidP="00A92BFA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Univ. Ferhat Abbas </w:t>
            </w:r>
            <w:proofErr w:type="spellStart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Sétif</w:t>
            </w:r>
            <w:proofErr w:type="spellEnd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172" w:type="dxa"/>
            <w:vAlign w:val="center"/>
          </w:tcPr>
          <w:p w14:paraId="3DBADCA2" w14:textId="77777777" w:rsidR="00A92BFA" w:rsidRPr="0064699E" w:rsidRDefault="00A92BFA" w:rsidP="00A92BFA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Jury</w:t>
            </w:r>
          </w:p>
        </w:tc>
      </w:tr>
      <w:tr w:rsidR="00A92BFA" w:rsidRPr="0064699E" w14:paraId="28F682BC" w14:textId="77777777" w:rsidTr="00A92BFA">
        <w:trPr>
          <w:trHeight w:val="469"/>
        </w:trPr>
        <w:tc>
          <w:tcPr>
            <w:tcW w:w="2911" w:type="dxa"/>
            <w:vAlign w:val="center"/>
          </w:tcPr>
          <w:p w14:paraId="083F2E3B" w14:textId="77777777" w:rsidR="00A92BFA" w:rsidRPr="0064699E" w:rsidRDefault="00A92BFA" w:rsidP="00A92BFA">
            <w:pPr>
              <w:bidi w:val="0"/>
              <w:spacing w:before="100" w:beforeAutospacing="1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Chouaba</w:t>
            </w:r>
            <w:proofErr w:type="spellEnd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Siefeddine</w:t>
            </w:r>
            <w:proofErr w:type="spellEnd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vAlign w:val="center"/>
          </w:tcPr>
          <w:p w14:paraId="7ADD390A" w14:textId="77777777" w:rsidR="00A92BFA" w:rsidRPr="0064699E" w:rsidRDefault="00A92BFA" w:rsidP="00A92BFA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289" w:type="dxa"/>
            <w:vAlign w:val="center"/>
          </w:tcPr>
          <w:p w14:paraId="13E229E6" w14:textId="77777777" w:rsidR="00A92BFA" w:rsidRPr="0064699E" w:rsidRDefault="00A92BFA" w:rsidP="00A92BFA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Univ. Ferhat Abbas </w:t>
            </w:r>
            <w:proofErr w:type="spellStart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Sétif</w:t>
            </w:r>
            <w:proofErr w:type="spellEnd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172" w:type="dxa"/>
            <w:vAlign w:val="center"/>
          </w:tcPr>
          <w:p w14:paraId="666E1A5E" w14:textId="77777777" w:rsidR="00A92BFA" w:rsidRPr="0064699E" w:rsidRDefault="00A92BFA" w:rsidP="00A92BFA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Jury</w:t>
            </w:r>
          </w:p>
        </w:tc>
      </w:tr>
      <w:tr w:rsidR="00A92BFA" w:rsidRPr="0064699E" w14:paraId="26F0AE58" w14:textId="77777777" w:rsidTr="00A92BFA">
        <w:trPr>
          <w:trHeight w:val="469"/>
        </w:trPr>
        <w:tc>
          <w:tcPr>
            <w:tcW w:w="2911" w:type="dxa"/>
            <w:vAlign w:val="center"/>
          </w:tcPr>
          <w:p w14:paraId="14022012" w14:textId="77777777" w:rsidR="00A92BFA" w:rsidRPr="0064699E" w:rsidRDefault="00A92BFA" w:rsidP="00A92BFA">
            <w:pPr>
              <w:bidi w:val="0"/>
              <w:spacing w:before="100" w:beforeAutospacing="1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BENABDESSADOK Abd Elhadi</w:t>
            </w:r>
          </w:p>
        </w:tc>
        <w:tc>
          <w:tcPr>
            <w:tcW w:w="1989" w:type="dxa"/>
            <w:vAlign w:val="center"/>
          </w:tcPr>
          <w:p w14:paraId="309507BD" w14:textId="77777777" w:rsidR="00A92BFA" w:rsidRPr="0064699E" w:rsidRDefault="00A92BFA" w:rsidP="00A92BFA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Physicist</w:t>
            </w:r>
          </w:p>
        </w:tc>
        <w:tc>
          <w:tcPr>
            <w:tcW w:w="3289" w:type="dxa"/>
            <w:vAlign w:val="center"/>
          </w:tcPr>
          <w:p w14:paraId="6056B626" w14:textId="77777777" w:rsidR="00A92BFA" w:rsidRPr="0064699E" w:rsidRDefault="00A92BFA" w:rsidP="00A92BFA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CCC Ibn </w:t>
            </w:r>
            <w:proofErr w:type="spellStart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Rochd</w:t>
            </w:r>
            <w:proofErr w:type="spellEnd"/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Annaba</w:t>
            </w:r>
          </w:p>
        </w:tc>
        <w:tc>
          <w:tcPr>
            <w:tcW w:w="2172" w:type="dxa"/>
            <w:vAlign w:val="center"/>
          </w:tcPr>
          <w:p w14:paraId="7996BD7F" w14:textId="77777777" w:rsidR="00A92BFA" w:rsidRPr="0064699E" w:rsidRDefault="00A92BFA" w:rsidP="00A92BFA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9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</w:t>
            </w:r>
          </w:p>
        </w:tc>
      </w:tr>
    </w:tbl>
    <w:p w14:paraId="005BB995" w14:textId="77777777" w:rsidR="00A92BFA" w:rsidRPr="00B509D4" w:rsidRDefault="00A92BFA" w:rsidP="00A92BFA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B509D4">
        <w:rPr>
          <w:rFonts w:asciiTheme="majorBidi" w:hAnsiTheme="majorBidi" w:cstheme="majorBidi"/>
          <w:b/>
          <w:bCs/>
          <w:sz w:val="28"/>
          <w:szCs w:val="28"/>
        </w:rPr>
        <w:lastRenderedPageBreak/>
        <w:t>Contents:</w:t>
      </w:r>
    </w:p>
    <w:p w14:paraId="59EB3230" w14:textId="77777777" w:rsidR="00A92BFA" w:rsidRPr="00B509D4" w:rsidRDefault="00A92BFA" w:rsidP="00A92BFA">
      <w:pPr>
        <w:pStyle w:val="TOC1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r>
        <w:rPr>
          <w:rFonts w:asciiTheme="majorBidi" w:hAnsiTheme="majorBidi" w:cstheme="majorBidi"/>
          <w:b w:val="0"/>
          <w:bCs w:val="0"/>
          <w:caps w:val="0"/>
          <w:sz w:val="24"/>
          <w:szCs w:val="24"/>
        </w:rPr>
        <w:t xml:space="preserve">                                                                                                                                               Page</w:t>
      </w:r>
      <w:r>
        <w:rPr>
          <w:rFonts w:asciiTheme="majorBidi" w:hAnsiTheme="majorBidi" w:cstheme="majorBidi"/>
          <w:b w:val="0"/>
          <w:bCs w:val="0"/>
          <w:caps w:val="0"/>
          <w:sz w:val="24"/>
          <w:szCs w:val="24"/>
          <w:rtl/>
        </w:rPr>
        <w:fldChar w:fldCharType="begin"/>
      </w:r>
      <w:r>
        <w:rPr>
          <w:rFonts w:asciiTheme="majorBidi" w:hAnsiTheme="majorBidi" w:cstheme="majorBidi"/>
          <w:b w:val="0"/>
          <w:bCs w:val="0"/>
          <w:caps w:val="0"/>
          <w:sz w:val="24"/>
          <w:szCs w:val="24"/>
          <w:rtl/>
        </w:rPr>
        <w:instrText xml:space="preserve"> </w:instrText>
      </w:r>
      <w:r>
        <w:rPr>
          <w:rFonts w:asciiTheme="majorBidi" w:hAnsiTheme="majorBidi" w:cstheme="majorBidi"/>
          <w:b w:val="0"/>
          <w:bCs w:val="0"/>
          <w:caps w:val="0"/>
          <w:sz w:val="24"/>
          <w:szCs w:val="24"/>
        </w:rPr>
        <w:instrText>TOC</w:instrText>
      </w:r>
      <w:r>
        <w:rPr>
          <w:rFonts w:asciiTheme="majorBidi" w:hAnsiTheme="majorBidi" w:cstheme="majorBidi"/>
          <w:b w:val="0"/>
          <w:bCs w:val="0"/>
          <w:caps w:val="0"/>
          <w:sz w:val="24"/>
          <w:szCs w:val="24"/>
          <w:rtl/>
        </w:rPr>
        <w:instrText xml:space="preserve"> \</w:instrText>
      </w:r>
      <w:r>
        <w:rPr>
          <w:rFonts w:asciiTheme="majorBidi" w:hAnsiTheme="majorBidi" w:cstheme="majorBidi"/>
          <w:b w:val="0"/>
          <w:bCs w:val="0"/>
          <w:caps w:val="0"/>
          <w:sz w:val="24"/>
          <w:szCs w:val="24"/>
        </w:rPr>
        <w:instrText>o "1-2" \h \z \u</w:instrText>
      </w:r>
      <w:r>
        <w:rPr>
          <w:rFonts w:asciiTheme="majorBidi" w:hAnsiTheme="majorBidi" w:cstheme="majorBidi"/>
          <w:b w:val="0"/>
          <w:bCs w:val="0"/>
          <w:caps w:val="0"/>
          <w:sz w:val="24"/>
          <w:szCs w:val="24"/>
          <w:rtl/>
        </w:rPr>
        <w:instrText xml:space="preserve"> </w:instrText>
      </w:r>
      <w:r>
        <w:rPr>
          <w:rFonts w:asciiTheme="majorBidi" w:hAnsiTheme="majorBidi" w:cstheme="majorBidi"/>
          <w:b w:val="0"/>
          <w:bCs w:val="0"/>
          <w:caps w:val="0"/>
          <w:sz w:val="24"/>
          <w:szCs w:val="24"/>
          <w:rtl/>
        </w:rPr>
        <w:fldChar w:fldCharType="separate"/>
      </w:r>
    </w:p>
    <w:p w14:paraId="2EF149F6" w14:textId="77777777" w:rsidR="00A92BFA" w:rsidRPr="00B509D4" w:rsidRDefault="00A92BFA" w:rsidP="00A92BFA">
      <w:pPr>
        <w:pStyle w:val="TOC1"/>
        <w:tabs>
          <w:tab w:val="left" w:pos="2305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10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1.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Nuclear medicine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Toc199515310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3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79AF2127" w14:textId="77777777" w:rsidR="00A92BFA" w:rsidRPr="00B509D4" w:rsidRDefault="00A92BFA" w:rsidP="00A92BFA">
      <w:pPr>
        <w:pStyle w:val="TOC1"/>
        <w:tabs>
          <w:tab w:val="left" w:pos="2530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11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2.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Internal Dosimetry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Toc199515311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4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4E97DD9D" w14:textId="77777777" w:rsidR="00A92BFA" w:rsidRPr="00B509D4" w:rsidRDefault="00A92BFA" w:rsidP="00A92BFA">
      <w:pPr>
        <w:pStyle w:val="TOC1"/>
        <w:tabs>
          <w:tab w:val="left" w:pos="2892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12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3.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Radiopharmaceuticals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Toc199515312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5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331DA109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13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Definition and characteristics: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Toc199515313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5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12B7974F" w14:textId="77777777" w:rsidR="00A92BFA" w:rsidRPr="00B509D4" w:rsidRDefault="00A92BFA" w:rsidP="00A92BFA">
      <w:pPr>
        <w:pStyle w:val="TOC1"/>
        <w:tabs>
          <w:tab w:val="left" w:pos="2326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14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4.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Thyroid Anatomy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Toc199515314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8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28347EA7" w14:textId="77777777" w:rsidR="00A92BFA" w:rsidRPr="00B509D4" w:rsidRDefault="00A92BFA" w:rsidP="00A92BFA">
      <w:pPr>
        <w:pStyle w:val="TOC1"/>
        <w:tabs>
          <w:tab w:val="left" w:pos="1977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15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5.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Thyroid tissue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Toc199515315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9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00EB950E" w14:textId="77777777" w:rsidR="00A92BFA" w:rsidRPr="00B509D4" w:rsidRDefault="00A92BFA" w:rsidP="00A92BFA">
      <w:pPr>
        <w:pStyle w:val="TOC1"/>
        <w:tabs>
          <w:tab w:val="left" w:pos="2317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16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6.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Thyroid Function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Toc199515316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9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68C1D907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17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Negative feedback: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Toc199515317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9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6FAFE26B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18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Thyroid hormones synthesis: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Toc199515318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10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498E185C" w14:textId="77777777" w:rsidR="00A92BFA" w:rsidRPr="00B509D4" w:rsidRDefault="00A92BFA" w:rsidP="00A92BFA">
      <w:pPr>
        <w:pStyle w:val="TOC1"/>
        <w:tabs>
          <w:tab w:val="left" w:pos="2257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19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7.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Hyperthyroidism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Toc199515319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11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6B495411" w14:textId="77777777" w:rsidR="00A92BFA" w:rsidRPr="00B509D4" w:rsidRDefault="00A92BFA" w:rsidP="00A92BFA">
      <w:pPr>
        <w:pStyle w:val="TOC1"/>
        <w:tabs>
          <w:tab w:val="left" w:pos="3032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20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8.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eastAsia="Times New Roman" w:hAnsiTheme="majorBidi" w:cstheme="majorBidi"/>
            <w:noProof/>
            <w:szCs w:val="22"/>
            <w:lang w:eastAsia="fr-FR"/>
          </w:rPr>
          <w:t xml:space="preserve">Graves-Basedow </w:t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Disease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Toc199515320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12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772AF76D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21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Discover: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Toc199515321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12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4662F620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22" w:history="1">
        <w:r w:rsidRPr="00B509D4">
          <w:rPr>
            <w:rStyle w:val="Hyperlink"/>
            <w:rFonts w:asciiTheme="majorBidi" w:eastAsia="Times New Roman" w:hAnsiTheme="majorBidi" w:cstheme="majorBidi"/>
            <w:noProof/>
            <w:szCs w:val="22"/>
            <w:lang w:eastAsia="fr-FR"/>
          </w:rPr>
          <w:t>Definition and Explanation: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Toc199515322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13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5D890842" w14:textId="77777777" w:rsidR="00A92BFA" w:rsidRPr="00B509D4" w:rsidRDefault="00A92BFA" w:rsidP="00A92BFA">
      <w:pPr>
        <w:pStyle w:val="TOC1"/>
        <w:tabs>
          <w:tab w:val="left" w:pos="2964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23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9.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Thyroid Diagnosis Tests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Toc199515323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15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6D0EB59F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24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Thyroid Imaging tests: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Toc199515324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15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685A994F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25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Thyroid ultrasound: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Toc199515325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15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76B851F9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26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Thyroid uptake and scan: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Toc199515326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17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182DBB57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27" w:history="1">
        <w:r w:rsidRPr="00B509D4">
          <w:rPr>
            <w:rStyle w:val="Hyperlink"/>
            <w:rFonts w:asciiTheme="majorBidi" w:eastAsia="Times New Roman" w:hAnsiTheme="majorBidi" w:cstheme="majorBidi"/>
            <w:noProof/>
            <w:szCs w:val="22"/>
            <w:lang w:eastAsia="fr-FR" w:bidi="ar-DZ"/>
          </w:rPr>
          <w:t>Non</w:t>
        </w:r>
        <w:r w:rsidRPr="00B509D4">
          <w:rPr>
            <w:rStyle w:val="Hyperlink"/>
            <w:rFonts w:asciiTheme="majorBidi" w:eastAsia="Times New Roman" w:hAnsiTheme="majorBidi" w:cstheme="majorBidi"/>
            <w:noProof/>
            <w:szCs w:val="22"/>
            <w:lang w:eastAsia="fr-FR" w:bidi="ar-DZ"/>
          </w:rPr>
          <w:noBreakHyphen/>
          <w:t>Imaging tests: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Toc199515327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18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2D78B214" w14:textId="77777777" w:rsidR="00A92BFA" w:rsidRPr="00B509D4" w:rsidRDefault="00A92BFA" w:rsidP="00A92BFA">
      <w:pPr>
        <w:pStyle w:val="TOC1"/>
        <w:tabs>
          <w:tab w:val="left" w:pos="2486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28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10.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Thyroid Treatment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Toc199515328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20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0A5468F5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29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Radioactive-Iodine Therapy (Administered Radioactive Iodine):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Toc199515329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20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634B419D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30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Iodine-131: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Toc199515330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20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5921103B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31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I-131 production: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Toc199515331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21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64788C5C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32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I-131 for thyroid therapy: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Toc199515332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21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7FAD98F5" w14:textId="77777777" w:rsidR="00A92BFA" w:rsidRPr="00B509D4" w:rsidRDefault="00A92BFA" w:rsidP="00A92BFA">
      <w:pPr>
        <w:pStyle w:val="TOC1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33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Introduction: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Toc199515333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24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41D1F2A7" w14:textId="77777777" w:rsidR="00A92BFA" w:rsidRPr="00B509D4" w:rsidRDefault="00A92BFA" w:rsidP="00A92BFA">
      <w:pPr>
        <w:pStyle w:val="TOC1"/>
        <w:tabs>
          <w:tab w:val="left" w:pos="3385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34" w:history="1">
        <w:r w:rsidRPr="00B509D4">
          <w:rPr>
            <w:rStyle w:val="Hyperlink"/>
            <w:rFonts w:asciiTheme="majorBidi" w:eastAsia="Times New Roman" w:hAnsiTheme="majorBidi" w:cstheme="majorBidi"/>
            <w:noProof/>
            <w:szCs w:val="22"/>
            <w:lang w:eastAsia="fr-FR"/>
          </w:rPr>
          <w:t>11.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eastAsia="Times New Roman" w:hAnsiTheme="majorBidi" w:cstheme="majorBidi"/>
            <w:noProof/>
            <w:szCs w:val="22"/>
            <w:lang w:eastAsia="fr-FR"/>
          </w:rPr>
          <w:t>Annaba Cancer Center (CAC)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Toc199515334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24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2E56D00E" w14:textId="77777777" w:rsidR="00A92BFA" w:rsidRPr="00B509D4" w:rsidRDefault="00A92BFA" w:rsidP="00A92BFA">
      <w:pPr>
        <w:pStyle w:val="TOC1"/>
        <w:tabs>
          <w:tab w:val="left" w:pos="4195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35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12.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Nuclear medicine and imaging unit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Toc199515335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24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53786554" w14:textId="77777777" w:rsidR="00A92BFA" w:rsidRPr="00B509D4" w:rsidRDefault="00A92BFA" w:rsidP="00A92BFA">
      <w:pPr>
        <w:pStyle w:val="TOC1"/>
        <w:tabs>
          <w:tab w:val="left" w:pos="3415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36" w:history="1">
        <w:r w:rsidRPr="00B509D4">
          <w:rPr>
            <w:rStyle w:val="Hyperlink"/>
            <w:rFonts w:asciiTheme="majorBidi" w:eastAsia="Times New Roman" w:hAnsiTheme="majorBidi" w:cstheme="majorBidi"/>
            <w:noProof/>
            <w:szCs w:val="22"/>
            <w:lang w:eastAsia="fr-FR" w:bidi="ar-DZ"/>
          </w:rPr>
          <w:t>13.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Material and Methodology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Toc199515336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25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4CD422DA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37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Metabolic radiotherapy unit (RAI Therapy):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Toc199515337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25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0149EF26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38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Hot Lab (Laboratoire Chaud):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Toc199515338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25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0C683224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39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Patients Room: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Toc199515339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28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14583E70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40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Guard room: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Toc199515340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29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186005E0" w14:textId="77777777" w:rsidR="00A92BFA" w:rsidRPr="00B509D4" w:rsidRDefault="00A92BFA" w:rsidP="00A92BFA">
      <w:pPr>
        <w:pStyle w:val="TOC1"/>
        <w:tabs>
          <w:tab w:val="left" w:pos="2264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41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14.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Test preparation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Toc199515341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30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36CE2087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42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Thyroid volume Determination: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Toc199515342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32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1CC2BB71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43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 xml:space="preserve">Radioactive Iodin Uptake </w:t>
        </w:r>
        <w:r w:rsidRPr="00B509D4">
          <w:rPr>
            <w:rStyle w:val="Hyperlink"/>
            <w:rFonts w:asciiTheme="majorBidi" w:hAnsiTheme="majorBidi" w:cstheme="majorBidi"/>
            <w:noProof/>
            <w:szCs w:val="22"/>
            <w:lang w:val="fr-FR"/>
          </w:rPr>
          <w:t>Measurement: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Toc199515343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32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759D987E" w14:textId="77777777" w:rsidR="00A92BFA" w:rsidRPr="00B509D4" w:rsidRDefault="00A92BFA" w:rsidP="00A92BFA">
      <w:pPr>
        <w:pStyle w:val="TOC1"/>
        <w:tabs>
          <w:tab w:val="left" w:pos="3626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44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15.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Activity calculation methods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Toc199515344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34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39F00DB0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45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Marinelli’s formula: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Toc199515345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34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4949F2C7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46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The MIRD schema: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Toc199515346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36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34F38DF7" w14:textId="77777777" w:rsidR="00A92BFA" w:rsidRPr="00B509D4" w:rsidRDefault="00A92BFA" w:rsidP="00A92BFA">
      <w:pPr>
        <w:pStyle w:val="TOC1"/>
        <w:tabs>
          <w:tab w:val="left" w:pos="3381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47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16.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Thyroid Volume Estimation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Toc199515347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39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7E9A161E" w14:textId="77777777" w:rsidR="00A92BFA" w:rsidRPr="00B509D4" w:rsidRDefault="00A92BFA" w:rsidP="00A92BFA">
      <w:pPr>
        <w:pStyle w:val="TOC1"/>
        <w:tabs>
          <w:tab w:val="left" w:pos="2971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48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17.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Internal Dose Selection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Toc199515348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39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784F717C" w14:textId="77777777" w:rsidR="00A92BFA" w:rsidRPr="00B509D4" w:rsidRDefault="00A92BFA" w:rsidP="00A92BFA">
      <w:pPr>
        <w:pStyle w:val="TOC1"/>
        <w:tabs>
          <w:tab w:val="left" w:pos="2081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49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18.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Thyroid Uptake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Toc199515349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40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1AC1942A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50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Radiation detection: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Toc199515350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40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0F5DDB50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51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Uptake calculation: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Toc199515351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42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1EB34D8D" w14:textId="77777777" w:rsidR="00A92BFA" w:rsidRPr="00B509D4" w:rsidRDefault="00A92BFA" w:rsidP="00A92BFA">
      <w:pPr>
        <w:pStyle w:val="TOC1"/>
        <w:tabs>
          <w:tab w:val="left" w:pos="3952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52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19.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Therapeutic Activity calculation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Toc199515352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45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5FB2EA9E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53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Model 1: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Toc199515353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45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6DDFABC7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54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Model 2: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Toc199515354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46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38CDDF37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55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Model 3: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Toc199515355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47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4CF90670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56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The MIRD schema: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Toc199515356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48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0878DF24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57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Residence time: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Toc199515357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48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20152380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58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Corrected S values: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Toc199515358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49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65FF9A8C" w14:textId="77777777" w:rsidR="00A92BFA" w:rsidRPr="00B509D4" w:rsidRDefault="00A92BFA" w:rsidP="00A92BFA">
      <w:pPr>
        <w:pStyle w:val="TOC2"/>
        <w:tabs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smallCaps w:val="0"/>
          <w:noProof/>
          <w:kern w:val="2"/>
          <w:szCs w:val="22"/>
          <w:rtl/>
          <w:lang w:val="fr-FR" w:eastAsia="fr-FR"/>
          <w14:ligatures w14:val="standardContextual"/>
        </w:rPr>
      </w:pPr>
      <w:hyperlink w:anchor="_Toc199515359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MIRD therapeutic activity: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Toc199515359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50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19D8DDC7" w14:textId="77777777" w:rsidR="00A92BFA" w:rsidRPr="00B509D4" w:rsidRDefault="00A92BFA" w:rsidP="00A92BFA">
      <w:pPr>
        <w:pStyle w:val="TOC1"/>
        <w:tabs>
          <w:tab w:val="left" w:pos="6123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60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20.Therapeutic Activity calculation models Comparison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Toc199515360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51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2FC0EADE" w14:textId="77777777" w:rsidR="00A92BFA" w:rsidRPr="00B509D4" w:rsidRDefault="00A92BFA" w:rsidP="00A92BFA">
      <w:pPr>
        <w:pStyle w:val="TOC1"/>
        <w:tabs>
          <w:tab w:val="left" w:pos="8508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61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21.</w:t>
        </w:r>
        <w:r w:rsidRPr="00B509D4">
          <w:rPr>
            <w:rFonts w:asciiTheme="majorBidi" w:eastAsiaTheme="minorEastAsia" w:hAnsiTheme="majorBidi" w:cstheme="majorBidi"/>
            <w:b w:val="0"/>
            <w:bCs w:val="0"/>
            <w:caps w:val="0"/>
            <w:noProof/>
            <w:kern w:val="2"/>
            <w:szCs w:val="22"/>
            <w:u w:val="none"/>
            <w:rtl/>
            <w:lang w:val="fr-FR" w:eastAsia="fr-FR"/>
            <w14:ligatures w14:val="standardContextual"/>
          </w:rPr>
          <w:tab/>
        </w:r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A comparison of computational methods under fixed standard conditions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Toc199515361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58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16FF1CBE" w14:textId="77777777" w:rsidR="00A92BFA" w:rsidRPr="00B509D4" w:rsidRDefault="00A92BFA" w:rsidP="00A92BFA">
      <w:pPr>
        <w:pStyle w:val="TOC1"/>
        <w:tabs>
          <w:tab w:val="left" w:pos="4295"/>
          <w:tab w:val="right" w:pos="9061"/>
        </w:tabs>
        <w:bidi w:val="0"/>
        <w:spacing w:line="240" w:lineRule="auto"/>
        <w:rPr>
          <w:rFonts w:asciiTheme="majorBidi" w:eastAsiaTheme="minorEastAsia" w:hAnsiTheme="majorBidi" w:cstheme="majorBidi"/>
          <w:b w:val="0"/>
          <w:bCs w:val="0"/>
          <w:caps w:val="0"/>
          <w:noProof/>
          <w:kern w:val="2"/>
          <w:szCs w:val="22"/>
          <w:u w:val="none"/>
          <w:rtl/>
          <w:lang w:val="fr-FR" w:eastAsia="fr-FR"/>
          <w14:ligatures w14:val="standardContextual"/>
        </w:rPr>
      </w:pPr>
      <w:hyperlink w:anchor="_Toc199515362" w:history="1">
        <w:r w:rsidRPr="00B509D4">
          <w:rPr>
            <w:rStyle w:val="Hyperlink"/>
            <w:rFonts w:asciiTheme="majorBidi" w:hAnsiTheme="majorBidi" w:cstheme="majorBidi"/>
            <w:noProof/>
            <w:szCs w:val="22"/>
          </w:rPr>
          <w:t>22.Effective half-life (Teff) calculation :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tab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begin"/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PAGEREF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_</w:instrText>
        </w:r>
        <w:r w:rsidRPr="00B509D4">
          <w:rPr>
            <w:rFonts w:asciiTheme="majorBidi" w:hAnsiTheme="majorBidi" w:cstheme="majorBidi"/>
            <w:noProof/>
            <w:webHidden/>
            <w:szCs w:val="22"/>
          </w:rPr>
          <w:instrText>Toc199515362 \h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instrText xml:space="preserve"> </w:instrTex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separate"/>
        </w:r>
        <w:r>
          <w:rPr>
            <w:rFonts w:asciiTheme="majorBidi" w:hAnsiTheme="majorBidi" w:cstheme="majorBidi"/>
            <w:noProof/>
            <w:webHidden/>
            <w:szCs w:val="22"/>
          </w:rPr>
          <w:t>61</w:t>
        </w:r>
        <w:r w:rsidRPr="00B509D4">
          <w:rPr>
            <w:rFonts w:asciiTheme="majorBidi" w:hAnsiTheme="majorBidi" w:cstheme="majorBidi"/>
            <w:noProof/>
            <w:webHidden/>
            <w:szCs w:val="22"/>
            <w:rtl/>
          </w:rPr>
          <w:fldChar w:fldCharType="end"/>
        </w:r>
      </w:hyperlink>
    </w:p>
    <w:p w14:paraId="0F1317C2" w14:textId="53FE738C" w:rsidR="00A92BFA" w:rsidRPr="0064699E" w:rsidRDefault="00A92BFA" w:rsidP="00A92BFA">
      <w:pPr>
        <w:bidi w:val="0"/>
        <w:spacing w:after="0" w:line="360" w:lineRule="auto"/>
        <w:outlineLvl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caps/>
          <w:sz w:val="24"/>
          <w:szCs w:val="24"/>
          <w:u w:val="single"/>
          <w:rtl/>
        </w:rPr>
        <w:fldChar w:fldCharType="end"/>
      </w:r>
    </w:p>
    <w:p w14:paraId="15869334" w14:textId="77777777" w:rsidR="00A92BFA" w:rsidRDefault="00A92BFA" w:rsidP="00A92BFA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Abstract:</w:t>
      </w:r>
    </w:p>
    <w:p w14:paraId="66C9F121" w14:textId="77777777" w:rsidR="00A92BFA" w:rsidRPr="00A92BFA" w:rsidRDefault="00A92BFA" w:rsidP="00A92BFA">
      <w:pPr>
        <w:bidi w:val="0"/>
        <w:spacing w:line="360" w:lineRule="auto"/>
        <w:rPr>
          <w:rFonts w:asciiTheme="majorBidi" w:hAnsiTheme="majorBidi" w:cstheme="majorBidi"/>
        </w:rPr>
      </w:pPr>
      <w:r w:rsidRPr="0064699E">
        <w:rPr>
          <w:rFonts w:asciiTheme="majorBidi" w:hAnsiTheme="majorBidi" w:cstheme="majorBidi"/>
          <w:b/>
          <w:bCs/>
        </w:rPr>
        <w:t>Introduction:</w:t>
      </w:r>
      <w:r w:rsidRPr="0064699E">
        <w:rPr>
          <w:rFonts w:asciiTheme="majorBidi" w:hAnsiTheme="majorBidi" w:cstheme="majorBidi"/>
        </w:rPr>
        <w:t xml:space="preserve"> Graves’ disease requires tailored radioiodine (¹³¹I) therapy due to variable thyroid volume and iodine uptake.</w:t>
      </w:r>
      <w:r w:rsidRPr="0064699E">
        <w:rPr>
          <w:rFonts w:asciiTheme="majorBidi" w:hAnsiTheme="majorBidi" w:cstheme="majorBidi"/>
        </w:rPr>
        <w:br/>
      </w:r>
      <w:r w:rsidRPr="0064699E">
        <w:rPr>
          <w:rFonts w:asciiTheme="majorBidi" w:hAnsiTheme="majorBidi" w:cstheme="majorBidi"/>
          <w:b/>
          <w:bCs/>
        </w:rPr>
        <w:t>Methods:</w:t>
      </w:r>
      <w:r w:rsidRPr="0064699E">
        <w:rPr>
          <w:rFonts w:asciiTheme="majorBidi" w:hAnsiTheme="majorBidi" w:cstheme="majorBidi"/>
        </w:rPr>
        <w:t xml:space="preserve"> Retrospective study on 4 patients at Annaba Cancer Center. Thyroid volume was measured by ultrasound; iodine uptake and effective half-life (Teff) via </w:t>
      </w:r>
      <w:proofErr w:type="spellStart"/>
      <w:r w:rsidRPr="0064699E">
        <w:rPr>
          <w:rFonts w:asciiTheme="majorBidi" w:hAnsiTheme="majorBidi" w:cstheme="majorBidi"/>
        </w:rPr>
        <w:t>Atomlab</w:t>
      </w:r>
      <w:proofErr w:type="spellEnd"/>
      <w:r w:rsidRPr="0064699E">
        <w:rPr>
          <w:rFonts w:asciiTheme="majorBidi" w:hAnsiTheme="majorBidi" w:cstheme="majorBidi"/>
        </w:rPr>
        <w:t xml:space="preserve"> 960. Compared four models: Marinelli formula, fixed-dose, non-</w:t>
      </w:r>
      <w:proofErr w:type="spellStart"/>
      <w:r w:rsidRPr="0064699E">
        <w:rPr>
          <w:rFonts w:asciiTheme="majorBidi" w:hAnsiTheme="majorBidi" w:cstheme="majorBidi"/>
        </w:rPr>
        <w:t>dosimetric</w:t>
      </w:r>
      <w:proofErr w:type="spellEnd"/>
      <w:r w:rsidRPr="0064699E">
        <w:rPr>
          <w:rFonts w:asciiTheme="majorBidi" w:hAnsiTheme="majorBidi" w:cstheme="majorBidi"/>
        </w:rPr>
        <w:t>, and MIRD schema.</w:t>
      </w:r>
      <w:r w:rsidRPr="0064699E">
        <w:rPr>
          <w:rFonts w:asciiTheme="majorBidi" w:hAnsiTheme="majorBidi" w:cstheme="majorBidi"/>
        </w:rPr>
        <w:br/>
      </w:r>
      <w:r w:rsidRPr="0064699E">
        <w:rPr>
          <w:rFonts w:asciiTheme="majorBidi" w:hAnsiTheme="majorBidi" w:cstheme="majorBidi"/>
          <w:b/>
          <w:bCs/>
        </w:rPr>
        <w:t>Results:</w:t>
      </w:r>
      <w:r w:rsidRPr="0064699E">
        <w:rPr>
          <w:rFonts w:asciiTheme="majorBidi" w:hAnsiTheme="majorBidi" w:cstheme="majorBidi"/>
        </w:rPr>
        <w:t xml:space="preserve"> MIRD model was most precise (3.8–14.1 </w:t>
      </w:r>
      <w:proofErr w:type="spellStart"/>
      <w:r w:rsidRPr="0064699E">
        <w:rPr>
          <w:rFonts w:asciiTheme="majorBidi" w:hAnsiTheme="majorBidi" w:cstheme="majorBidi"/>
        </w:rPr>
        <w:t>mCi</w:t>
      </w:r>
      <w:proofErr w:type="spellEnd"/>
      <w:r w:rsidRPr="0064699E">
        <w:rPr>
          <w:rFonts w:asciiTheme="majorBidi" w:hAnsiTheme="majorBidi" w:cstheme="majorBidi"/>
        </w:rPr>
        <w:t xml:space="preserve">), adjusting for gland size and uptake. Marinelli provided practical balance (3.4–9.3 </w:t>
      </w:r>
      <w:proofErr w:type="spellStart"/>
      <w:r w:rsidRPr="0064699E">
        <w:rPr>
          <w:rFonts w:asciiTheme="majorBidi" w:hAnsiTheme="majorBidi" w:cstheme="majorBidi"/>
        </w:rPr>
        <w:t>mCi</w:t>
      </w:r>
      <w:proofErr w:type="spellEnd"/>
      <w:r w:rsidRPr="0064699E">
        <w:rPr>
          <w:rFonts w:asciiTheme="majorBidi" w:hAnsiTheme="majorBidi" w:cstheme="majorBidi"/>
        </w:rPr>
        <w:t>). Non-</w:t>
      </w:r>
      <w:proofErr w:type="spellStart"/>
      <w:r w:rsidRPr="0064699E">
        <w:rPr>
          <w:rFonts w:asciiTheme="majorBidi" w:hAnsiTheme="majorBidi" w:cstheme="majorBidi"/>
        </w:rPr>
        <w:t>dosimetric</w:t>
      </w:r>
      <w:proofErr w:type="spellEnd"/>
      <w:r w:rsidRPr="0064699E">
        <w:rPr>
          <w:rFonts w:asciiTheme="majorBidi" w:hAnsiTheme="majorBidi" w:cstheme="majorBidi"/>
        </w:rPr>
        <w:t xml:space="preserve"> models risked underdosing small glands. Fixed protocols lacked flexibility for prolonged Teff.</w:t>
      </w:r>
      <w:r w:rsidRPr="0064699E">
        <w:rPr>
          <w:rFonts w:asciiTheme="majorBidi" w:hAnsiTheme="majorBidi" w:cstheme="majorBidi"/>
        </w:rPr>
        <w:br/>
      </w:r>
      <w:r w:rsidRPr="0064699E">
        <w:rPr>
          <w:rFonts w:asciiTheme="majorBidi" w:hAnsiTheme="majorBidi" w:cstheme="majorBidi"/>
          <w:b/>
          <w:bCs/>
        </w:rPr>
        <w:t>Conclusions:</w:t>
      </w:r>
      <w:r w:rsidRPr="0064699E">
        <w:rPr>
          <w:rFonts w:asciiTheme="majorBidi" w:hAnsiTheme="majorBidi" w:cstheme="majorBidi"/>
        </w:rPr>
        <w:t xml:space="preserve"> MIRD offers best personalization but needs advanced tools. Marinelli is suitable where resources are limited. AI-based dosimetry may improve future precision.</w:t>
      </w:r>
      <w:r w:rsidRPr="0064699E">
        <w:rPr>
          <w:rFonts w:asciiTheme="majorBidi" w:hAnsiTheme="majorBidi" w:cstheme="majorBidi"/>
        </w:rPr>
        <w:br/>
      </w:r>
      <w:r w:rsidRPr="00A92BFA">
        <w:rPr>
          <w:rFonts w:asciiTheme="majorBidi" w:hAnsiTheme="majorBidi" w:cstheme="majorBidi"/>
          <w:b/>
          <w:bCs/>
        </w:rPr>
        <w:t>Keywords:</w:t>
      </w:r>
      <w:r w:rsidRPr="00A92BFA">
        <w:rPr>
          <w:rFonts w:asciiTheme="majorBidi" w:hAnsiTheme="majorBidi" w:cstheme="majorBidi"/>
        </w:rPr>
        <w:t xml:space="preserve"> Graves’ disease, radioiodine therapy, thyroid volume, </w:t>
      </w:r>
      <w:proofErr w:type="spellStart"/>
      <w:r w:rsidRPr="00A92BFA">
        <w:rPr>
          <w:rFonts w:asciiTheme="majorBidi" w:hAnsiTheme="majorBidi" w:cstheme="majorBidi"/>
        </w:rPr>
        <w:t>dosimetric</w:t>
      </w:r>
      <w:proofErr w:type="spellEnd"/>
      <w:r w:rsidRPr="00A92BFA">
        <w:rPr>
          <w:rFonts w:asciiTheme="majorBidi" w:hAnsiTheme="majorBidi" w:cstheme="majorBidi"/>
        </w:rPr>
        <w:t xml:space="preserve"> models.</w:t>
      </w:r>
    </w:p>
    <w:p w14:paraId="6C346484" w14:textId="77777777" w:rsidR="00A92BFA" w:rsidRPr="00CF1532" w:rsidRDefault="00A92BFA" w:rsidP="00A92BFA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CF153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Résumé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:</w:t>
      </w:r>
    </w:p>
    <w:p w14:paraId="3100FA84" w14:textId="77777777" w:rsidR="00A92BFA" w:rsidRPr="0064699E" w:rsidRDefault="00A92BFA" w:rsidP="00A92BFA">
      <w:pPr>
        <w:bidi w:val="0"/>
        <w:spacing w:line="360" w:lineRule="auto"/>
        <w:rPr>
          <w:rFonts w:asciiTheme="majorBidi" w:hAnsiTheme="majorBidi" w:cstheme="majorBidi"/>
          <w:lang w:val="fr-FR"/>
        </w:rPr>
      </w:pPr>
      <w:r w:rsidRPr="0064699E">
        <w:rPr>
          <w:rFonts w:asciiTheme="majorBidi" w:hAnsiTheme="majorBidi" w:cstheme="majorBidi"/>
          <w:b/>
          <w:bCs/>
          <w:lang w:val="fr-FR"/>
        </w:rPr>
        <w:t>Introduction :</w:t>
      </w:r>
      <w:r w:rsidRPr="0064699E">
        <w:rPr>
          <w:rFonts w:asciiTheme="majorBidi" w:hAnsiTheme="majorBidi" w:cstheme="majorBidi"/>
          <w:lang w:val="fr-FR"/>
        </w:rPr>
        <w:t xml:space="preserve"> La maladie de Basedow nécessite une thérapie à l’iode ¹³¹I personnalisée à cause des variations de volume thyroïdien et de fixation.</w:t>
      </w:r>
      <w:r w:rsidRPr="0064699E">
        <w:rPr>
          <w:rFonts w:asciiTheme="majorBidi" w:hAnsiTheme="majorBidi" w:cstheme="majorBidi"/>
          <w:lang w:val="fr-FR"/>
        </w:rPr>
        <w:br/>
      </w:r>
      <w:r w:rsidRPr="0064699E">
        <w:rPr>
          <w:rFonts w:asciiTheme="majorBidi" w:hAnsiTheme="majorBidi" w:cstheme="majorBidi"/>
          <w:b/>
          <w:bCs/>
          <w:lang w:val="fr-FR"/>
        </w:rPr>
        <w:t>Méthodes :</w:t>
      </w:r>
      <w:r w:rsidRPr="0064699E">
        <w:rPr>
          <w:rFonts w:asciiTheme="majorBidi" w:hAnsiTheme="majorBidi" w:cstheme="majorBidi"/>
          <w:lang w:val="fr-FR"/>
        </w:rPr>
        <w:t xml:space="preserve"> Étude rétrospective sur 4 patients au Centre anticancer d’Annaba. Volume mesuré par échographie ; fixation et </w:t>
      </w:r>
      <w:proofErr w:type="spellStart"/>
      <w:r w:rsidRPr="0064699E">
        <w:rPr>
          <w:rFonts w:asciiTheme="majorBidi" w:hAnsiTheme="majorBidi" w:cstheme="majorBidi"/>
          <w:lang w:val="fr-FR"/>
        </w:rPr>
        <w:t>Teff</w:t>
      </w:r>
      <w:proofErr w:type="spellEnd"/>
      <w:r w:rsidRPr="0064699E">
        <w:rPr>
          <w:rFonts w:asciiTheme="majorBidi" w:hAnsiTheme="majorBidi" w:cstheme="majorBidi"/>
          <w:lang w:val="fr-FR"/>
        </w:rPr>
        <w:t xml:space="preserve"> par </w:t>
      </w:r>
      <w:proofErr w:type="spellStart"/>
      <w:r w:rsidRPr="0064699E">
        <w:rPr>
          <w:rFonts w:asciiTheme="majorBidi" w:hAnsiTheme="majorBidi" w:cstheme="majorBidi"/>
          <w:lang w:val="fr-FR"/>
        </w:rPr>
        <w:t>Atomlab</w:t>
      </w:r>
      <w:proofErr w:type="spellEnd"/>
      <w:r w:rsidRPr="0064699E">
        <w:rPr>
          <w:rFonts w:asciiTheme="majorBidi" w:hAnsiTheme="majorBidi" w:cstheme="majorBidi"/>
          <w:lang w:val="fr-FR"/>
        </w:rPr>
        <w:t xml:space="preserve"> 960. Quatre modèles comparés : formule de Marinelli, dose fixe, non-dosimétrique, et schéma MIRD.</w:t>
      </w:r>
      <w:r w:rsidRPr="0064699E">
        <w:rPr>
          <w:rFonts w:asciiTheme="majorBidi" w:hAnsiTheme="majorBidi" w:cstheme="majorBidi"/>
          <w:lang w:val="fr-FR"/>
        </w:rPr>
        <w:br/>
      </w:r>
      <w:r w:rsidRPr="0064699E">
        <w:rPr>
          <w:rFonts w:asciiTheme="majorBidi" w:hAnsiTheme="majorBidi" w:cstheme="majorBidi"/>
          <w:b/>
          <w:bCs/>
          <w:lang w:val="fr-FR"/>
        </w:rPr>
        <w:t>Résultats :</w:t>
      </w:r>
      <w:r w:rsidRPr="0064699E">
        <w:rPr>
          <w:rFonts w:asciiTheme="majorBidi" w:hAnsiTheme="majorBidi" w:cstheme="majorBidi"/>
          <w:lang w:val="fr-FR"/>
        </w:rPr>
        <w:t xml:space="preserve"> Le modèle MIRD est le plus précis (3,8–14,1 </w:t>
      </w:r>
      <w:proofErr w:type="spellStart"/>
      <w:r w:rsidRPr="0064699E">
        <w:rPr>
          <w:rFonts w:asciiTheme="majorBidi" w:hAnsiTheme="majorBidi" w:cstheme="majorBidi"/>
          <w:lang w:val="fr-FR"/>
        </w:rPr>
        <w:t>mCi</w:t>
      </w:r>
      <w:proofErr w:type="spellEnd"/>
      <w:r w:rsidRPr="0064699E">
        <w:rPr>
          <w:rFonts w:asciiTheme="majorBidi" w:hAnsiTheme="majorBidi" w:cstheme="majorBidi"/>
          <w:lang w:val="fr-FR"/>
        </w:rPr>
        <w:t xml:space="preserve">). Marinelli propose un bon compromis (3,4–9,3 </w:t>
      </w:r>
      <w:proofErr w:type="spellStart"/>
      <w:r w:rsidRPr="0064699E">
        <w:rPr>
          <w:rFonts w:asciiTheme="majorBidi" w:hAnsiTheme="majorBidi" w:cstheme="majorBidi"/>
          <w:lang w:val="fr-FR"/>
        </w:rPr>
        <w:t>mCi</w:t>
      </w:r>
      <w:proofErr w:type="spellEnd"/>
      <w:r w:rsidRPr="0064699E">
        <w:rPr>
          <w:rFonts w:asciiTheme="majorBidi" w:hAnsiTheme="majorBidi" w:cstheme="majorBidi"/>
          <w:lang w:val="fr-FR"/>
        </w:rPr>
        <w:t>). Les modèles non-dosimétriques sous-dosent les petites glandes. Les protocoles fixes manquent de flexibilité.</w:t>
      </w:r>
      <w:r w:rsidRPr="0064699E">
        <w:rPr>
          <w:rFonts w:asciiTheme="majorBidi" w:hAnsiTheme="majorBidi" w:cstheme="majorBidi"/>
          <w:lang w:val="fr-FR"/>
        </w:rPr>
        <w:br/>
      </w:r>
      <w:r w:rsidRPr="0064699E">
        <w:rPr>
          <w:rFonts w:asciiTheme="majorBidi" w:hAnsiTheme="majorBidi" w:cstheme="majorBidi"/>
          <w:b/>
          <w:bCs/>
          <w:lang w:val="fr-FR"/>
        </w:rPr>
        <w:t>Conclusions :</w:t>
      </w:r>
      <w:r w:rsidRPr="0064699E">
        <w:rPr>
          <w:rFonts w:asciiTheme="majorBidi" w:hAnsiTheme="majorBidi" w:cstheme="majorBidi"/>
          <w:lang w:val="fr-FR"/>
        </w:rPr>
        <w:t xml:space="preserve"> Le schéma MIRD permet une personnalisation optimale, mais exige une infrastructure avancée. La formule de Marinelli est adaptée aux ressources limitées. L’IA pourrait améliorer la dosimétrie future.</w:t>
      </w:r>
      <w:r w:rsidRPr="0064699E">
        <w:rPr>
          <w:rFonts w:asciiTheme="majorBidi" w:hAnsiTheme="majorBidi" w:cstheme="majorBidi"/>
          <w:lang w:val="fr-FR"/>
        </w:rPr>
        <w:br/>
      </w:r>
      <w:r w:rsidRPr="0064699E">
        <w:rPr>
          <w:rFonts w:asciiTheme="majorBidi" w:hAnsiTheme="majorBidi" w:cstheme="majorBidi"/>
          <w:b/>
          <w:bCs/>
          <w:lang w:val="fr-FR"/>
        </w:rPr>
        <w:t>Mots-clés :</w:t>
      </w:r>
      <w:r w:rsidRPr="0064699E">
        <w:rPr>
          <w:rFonts w:asciiTheme="majorBidi" w:hAnsiTheme="majorBidi" w:cstheme="majorBidi"/>
          <w:lang w:val="fr-FR"/>
        </w:rPr>
        <w:t xml:space="preserve"> Maladie de Basedow, iode radioactif, volume thyroïdien, modèles dosimétriques.</w:t>
      </w:r>
    </w:p>
    <w:p w14:paraId="0D97566C" w14:textId="77777777" w:rsidR="00A92BFA" w:rsidRPr="00CF1532" w:rsidRDefault="00A92BFA" w:rsidP="00A92BF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CF153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الملخص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0C3E1AB3" w14:textId="6926D2C8" w:rsidR="00A92BFA" w:rsidRPr="00A92BFA" w:rsidRDefault="00A92BFA" w:rsidP="00A92BFA">
      <w:pPr>
        <w:spacing w:line="360" w:lineRule="auto"/>
        <w:rPr>
          <w:rFonts w:asciiTheme="majorBidi" w:hAnsiTheme="majorBidi" w:cstheme="majorBidi"/>
          <w:lang w:val="fr-FR"/>
        </w:rPr>
      </w:pPr>
      <w:r w:rsidRPr="0064699E">
        <w:rPr>
          <w:rFonts w:asciiTheme="majorBidi" w:hAnsiTheme="majorBidi" w:cstheme="majorBidi"/>
          <w:b/>
          <w:bCs/>
          <w:rtl/>
        </w:rPr>
        <w:t>المقدمة</w:t>
      </w:r>
      <w:r w:rsidRPr="0064699E">
        <w:rPr>
          <w:rFonts w:asciiTheme="majorBidi" w:hAnsiTheme="majorBidi" w:cstheme="majorBidi"/>
          <w:b/>
          <w:bCs/>
          <w:lang w:val="fr-FR"/>
        </w:rPr>
        <w:t>:</w:t>
      </w:r>
      <w:r w:rsidRPr="0064699E">
        <w:rPr>
          <w:rFonts w:asciiTheme="majorBidi" w:hAnsiTheme="majorBidi" w:cstheme="majorBidi"/>
          <w:lang w:val="fr-FR"/>
        </w:rPr>
        <w:t xml:space="preserve"> </w:t>
      </w:r>
      <w:r w:rsidRPr="0064699E">
        <w:rPr>
          <w:rFonts w:asciiTheme="majorBidi" w:hAnsiTheme="majorBidi" w:cstheme="majorBidi"/>
          <w:rtl/>
        </w:rPr>
        <w:t xml:space="preserve">يتطلب مرض </w:t>
      </w:r>
      <w:proofErr w:type="spellStart"/>
      <w:r w:rsidRPr="0064699E">
        <w:rPr>
          <w:rFonts w:asciiTheme="majorBidi" w:hAnsiTheme="majorBidi" w:cstheme="majorBidi"/>
          <w:rtl/>
        </w:rPr>
        <w:t>جريفز</w:t>
      </w:r>
      <w:proofErr w:type="spellEnd"/>
      <w:r w:rsidRPr="0064699E">
        <w:rPr>
          <w:rFonts w:asciiTheme="majorBidi" w:hAnsiTheme="majorBidi" w:cstheme="majorBidi"/>
          <w:rtl/>
        </w:rPr>
        <w:t xml:space="preserve"> علاجاً باليود المشع ¹³¹</w:t>
      </w:r>
      <w:r w:rsidRPr="0064699E">
        <w:rPr>
          <w:rFonts w:asciiTheme="majorBidi" w:hAnsiTheme="majorBidi" w:cstheme="majorBidi"/>
          <w:lang w:val="fr-FR"/>
        </w:rPr>
        <w:t xml:space="preserve">I </w:t>
      </w:r>
      <w:r w:rsidRPr="0064699E">
        <w:rPr>
          <w:rFonts w:asciiTheme="majorBidi" w:hAnsiTheme="majorBidi" w:cstheme="majorBidi"/>
          <w:rtl/>
        </w:rPr>
        <w:t>مخصصاً بسبب تباين حجم الغدة الدرقية وامتصاص اليود</w:t>
      </w:r>
      <w:r w:rsidRPr="0064699E">
        <w:rPr>
          <w:rFonts w:asciiTheme="majorBidi" w:hAnsiTheme="majorBidi" w:cstheme="majorBidi"/>
          <w:lang w:val="fr-FR"/>
        </w:rPr>
        <w:t>.</w:t>
      </w:r>
      <w:r w:rsidRPr="0064699E">
        <w:rPr>
          <w:rFonts w:asciiTheme="majorBidi" w:hAnsiTheme="majorBidi" w:cstheme="majorBidi"/>
          <w:lang w:val="fr-FR"/>
        </w:rPr>
        <w:br/>
      </w:r>
      <w:r w:rsidRPr="0064699E">
        <w:rPr>
          <w:rFonts w:asciiTheme="majorBidi" w:hAnsiTheme="majorBidi" w:cstheme="majorBidi"/>
          <w:b/>
          <w:bCs/>
          <w:rtl/>
        </w:rPr>
        <w:t>الطرق</w:t>
      </w:r>
      <w:r w:rsidRPr="0064699E">
        <w:rPr>
          <w:rFonts w:asciiTheme="majorBidi" w:hAnsiTheme="majorBidi" w:cstheme="majorBidi"/>
          <w:b/>
          <w:bCs/>
          <w:lang w:val="fr-FR"/>
        </w:rPr>
        <w:t>:</w:t>
      </w:r>
      <w:r w:rsidRPr="0064699E">
        <w:rPr>
          <w:rFonts w:asciiTheme="majorBidi" w:hAnsiTheme="majorBidi" w:cstheme="majorBidi"/>
          <w:lang w:val="fr-FR"/>
        </w:rPr>
        <w:t xml:space="preserve"> </w:t>
      </w:r>
      <w:r w:rsidRPr="0064699E">
        <w:rPr>
          <w:rFonts w:asciiTheme="majorBidi" w:hAnsiTheme="majorBidi" w:cstheme="majorBidi"/>
          <w:rtl/>
        </w:rPr>
        <w:t>دراسة رجعية لـ 4 مرضى بمركز عنابة. تم قياس الحجم بالموجات فوق الصوتية، والامتصاص و</w:t>
      </w:r>
      <w:proofErr w:type="spellStart"/>
      <w:r w:rsidRPr="0064699E">
        <w:rPr>
          <w:rFonts w:asciiTheme="majorBidi" w:hAnsiTheme="majorBidi" w:cstheme="majorBidi"/>
          <w:lang w:val="fr-FR"/>
        </w:rPr>
        <w:t>Teff</w:t>
      </w:r>
      <w:proofErr w:type="spellEnd"/>
      <w:r w:rsidRPr="0064699E">
        <w:rPr>
          <w:rFonts w:asciiTheme="majorBidi" w:hAnsiTheme="majorBidi" w:cstheme="majorBidi"/>
          <w:lang w:val="fr-FR"/>
        </w:rPr>
        <w:t xml:space="preserve"> </w:t>
      </w:r>
      <w:r w:rsidRPr="0064699E">
        <w:rPr>
          <w:rFonts w:asciiTheme="majorBidi" w:hAnsiTheme="majorBidi" w:cstheme="majorBidi"/>
          <w:rtl/>
        </w:rPr>
        <w:t>بجهاز</w:t>
      </w:r>
      <w:r w:rsidRPr="0064699E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4699E">
        <w:rPr>
          <w:rFonts w:asciiTheme="majorBidi" w:hAnsiTheme="majorBidi" w:cstheme="majorBidi"/>
          <w:lang w:val="fr-FR"/>
        </w:rPr>
        <w:t>Atomlab</w:t>
      </w:r>
      <w:proofErr w:type="spellEnd"/>
      <w:r w:rsidRPr="0064699E">
        <w:rPr>
          <w:rFonts w:asciiTheme="majorBidi" w:hAnsiTheme="majorBidi" w:cstheme="majorBidi"/>
          <w:lang w:val="fr-FR"/>
        </w:rPr>
        <w:t xml:space="preserve"> 960. </w:t>
      </w:r>
      <w:r w:rsidRPr="0064699E">
        <w:rPr>
          <w:rFonts w:asciiTheme="majorBidi" w:hAnsiTheme="majorBidi" w:cstheme="majorBidi"/>
          <w:rtl/>
        </w:rPr>
        <w:t xml:space="preserve">تمت مقارنة 4 نماذج: صيغة </w:t>
      </w:r>
      <w:proofErr w:type="spellStart"/>
      <w:r w:rsidRPr="0064699E">
        <w:rPr>
          <w:rFonts w:asciiTheme="majorBidi" w:hAnsiTheme="majorBidi" w:cstheme="majorBidi"/>
          <w:rtl/>
        </w:rPr>
        <w:t>مارينيلي</w:t>
      </w:r>
      <w:proofErr w:type="spellEnd"/>
      <w:r w:rsidRPr="0064699E">
        <w:rPr>
          <w:rFonts w:asciiTheme="majorBidi" w:hAnsiTheme="majorBidi" w:cstheme="majorBidi"/>
          <w:rtl/>
        </w:rPr>
        <w:t xml:space="preserve">، جرعة ثابتة، حسابات غير </w:t>
      </w:r>
      <w:proofErr w:type="spellStart"/>
      <w:r w:rsidRPr="0064699E">
        <w:rPr>
          <w:rFonts w:asciiTheme="majorBidi" w:hAnsiTheme="majorBidi" w:cstheme="majorBidi"/>
          <w:rtl/>
        </w:rPr>
        <w:t>جرعية</w:t>
      </w:r>
      <w:proofErr w:type="spellEnd"/>
      <w:r w:rsidRPr="0064699E">
        <w:rPr>
          <w:rFonts w:asciiTheme="majorBidi" w:hAnsiTheme="majorBidi" w:cstheme="majorBidi"/>
          <w:rtl/>
        </w:rPr>
        <w:t>، ومخطط</w:t>
      </w:r>
      <w:r w:rsidRPr="0064699E">
        <w:rPr>
          <w:rFonts w:asciiTheme="majorBidi" w:hAnsiTheme="majorBidi" w:cstheme="majorBidi"/>
          <w:lang w:val="fr-FR"/>
        </w:rPr>
        <w:t xml:space="preserve"> MIRD.</w:t>
      </w:r>
      <w:r w:rsidRPr="0064699E">
        <w:rPr>
          <w:rFonts w:asciiTheme="majorBidi" w:hAnsiTheme="majorBidi" w:cstheme="majorBidi"/>
          <w:lang w:val="fr-FR"/>
        </w:rPr>
        <w:br/>
      </w:r>
      <w:r w:rsidRPr="0064699E">
        <w:rPr>
          <w:rFonts w:asciiTheme="majorBidi" w:hAnsiTheme="majorBidi" w:cstheme="majorBidi"/>
          <w:b/>
          <w:bCs/>
          <w:rtl/>
        </w:rPr>
        <w:t>النتائج</w:t>
      </w:r>
      <w:r w:rsidRPr="0064699E">
        <w:rPr>
          <w:rFonts w:asciiTheme="majorBidi" w:hAnsiTheme="majorBidi" w:cstheme="majorBidi"/>
          <w:b/>
          <w:bCs/>
          <w:lang w:val="fr-FR"/>
        </w:rPr>
        <w:t>:</w:t>
      </w:r>
      <w:r w:rsidRPr="0064699E">
        <w:rPr>
          <w:rFonts w:asciiTheme="majorBidi" w:hAnsiTheme="majorBidi" w:cstheme="majorBidi"/>
          <w:lang w:val="fr-FR"/>
        </w:rPr>
        <w:t xml:space="preserve"> </w:t>
      </w:r>
      <w:r w:rsidRPr="0064699E">
        <w:rPr>
          <w:rFonts w:asciiTheme="majorBidi" w:hAnsiTheme="majorBidi" w:cstheme="majorBidi"/>
          <w:rtl/>
        </w:rPr>
        <w:t>نموذج</w:t>
      </w:r>
      <w:r w:rsidRPr="0064699E">
        <w:rPr>
          <w:rFonts w:asciiTheme="majorBidi" w:hAnsiTheme="majorBidi" w:cstheme="majorBidi"/>
          <w:lang w:val="fr-FR"/>
        </w:rPr>
        <w:t xml:space="preserve"> MIRD </w:t>
      </w:r>
      <w:r w:rsidRPr="0064699E">
        <w:rPr>
          <w:rFonts w:asciiTheme="majorBidi" w:hAnsiTheme="majorBidi" w:cstheme="majorBidi"/>
          <w:rtl/>
        </w:rPr>
        <w:t xml:space="preserve">كان الأدق (3.8–14.1 </w:t>
      </w:r>
      <w:proofErr w:type="spellStart"/>
      <w:r w:rsidRPr="0064699E">
        <w:rPr>
          <w:rFonts w:asciiTheme="majorBidi" w:hAnsiTheme="majorBidi" w:cstheme="majorBidi"/>
          <w:rtl/>
        </w:rPr>
        <w:t>ميكروكوري</w:t>
      </w:r>
      <w:proofErr w:type="spellEnd"/>
      <w:r w:rsidRPr="0064699E">
        <w:rPr>
          <w:rFonts w:asciiTheme="majorBidi" w:hAnsiTheme="majorBidi" w:cstheme="majorBidi"/>
          <w:rtl/>
        </w:rPr>
        <w:t xml:space="preserve">). صيغة </w:t>
      </w:r>
      <w:proofErr w:type="spellStart"/>
      <w:r w:rsidRPr="0064699E">
        <w:rPr>
          <w:rFonts w:asciiTheme="majorBidi" w:hAnsiTheme="majorBidi" w:cstheme="majorBidi"/>
          <w:rtl/>
        </w:rPr>
        <w:t>مارينيلي</w:t>
      </w:r>
      <w:proofErr w:type="spellEnd"/>
      <w:r w:rsidRPr="0064699E">
        <w:rPr>
          <w:rFonts w:asciiTheme="majorBidi" w:hAnsiTheme="majorBidi" w:cstheme="majorBidi"/>
          <w:rtl/>
        </w:rPr>
        <w:t xml:space="preserve"> متوازنة (3.4–9.3). النماذج غير </w:t>
      </w:r>
      <w:proofErr w:type="spellStart"/>
      <w:r w:rsidRPr="0064699E">
        <w:rPr>
          <w:rFonts w:asciiTheme="majorBidi" w:hAnsiTheme="majorBidi" w:cstheme="majorBidi"/>
          <w:rtl/>
        </w:rPr>
        <w:t>الجرعية</w:t>
      </w:r>
      <w:proofErr w:type="spellEnd"/>
      <w:r w:rsidRPr="0064699E">
        <w:rPr>
          <w:rFonts w:asciiTheme="majorBidi" w:hAnsiTheme="majorBidi" w:cstheme="majorBidi"/>
          <w:rtl/>
        </w:rPr>
        <w:t xml:space="preserve"> تخاطر بنقص الجرعة. البروتوكولات الثابتة غير مرنة مع</w:t>
      </w:r>
      <w:r w:rsidRPr="0064699E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64699E">
        <w:rPr>
          <w:rFonts w:asciiTheme="majorBidi" w:hAnsiTheme="majorBidi" w:cstheme="majorBidi"/>
          <w:lang w:val="fr-FR"/>
        </w:rPr>
        <w:t>Teff</w:t>
      </w:r>
      <w:proofErr w:type="spellEnd"/>
      <w:r w:rsidRPr="0064699E">
        <w:rPr>
          <w:rFonts w:asciiTheme="majorBidi" w:hAnsiTheme="majorBidi" w:cstheme="majorBidi"/>
          <w:lang w:val="fr-FR"/>
        </w:rPr>
        <w:t xml:space="preserve"> </w:t>
      </w:r>
      <w:r w:rsidRPr="0064699E">
        <w:rPr>
          <w:rFonts w:asciiTheme="majorBidi" w:hAnsiTheme="majorBidi" w:cstheme="majorBidi"/>
          <w:rtl/>
        </w:rPr>
        <w:t>طويل</w:t>
      </w:r>
      <w:r w:rsidRPr="0064699E">
        <w:rPr>
          <w:rFonts w:asciiTheme="majorBidi" w:hAnsiTheme="majorBidi" w:cstheme="majorBidi"/>
          <w:lang w:val="fr-FR"/>
        </w:rPr>
        <w:t>.</w:t>
      </w:r>
      <w:r w:rsidRPr="0064699E">
        <w:rPr>
          <w:rFonts w:asciiTheme="majorBidi" w:hAnsiTheme="majorBidi" w:cstheme="majorBidi"/>
          <w:lang w:val="fr-FR"/>
        </w:rPr>
        <w:br/>
      </w:r>
      <w:r w:rsidRPr="0064699E">
        <w:rPr>
          <w:rFonts w:asciiTheme="majorBidi" w:hAnsiTheme="majorBidi" w:cstheme="majorBidi"/>
          <w:b/>
          <w:bCs/>
          <w:rtl/>
        </w:rPr>
        <w:t>الاستنتاجات</w:t>
      </w:r>
      <w:r w:rsidRPr="0064699E">
        <w:rPr>
          <w:rFonts w:asciiTheme="majorBidi" w:hAnsiTheme="majorBidi" w:cstheme="majorBidi"/>
          <w:b/>
          <w:bCs/>
          <w:lang w:val="fr-FR"/>
        </w:rPr>
        <w:t>:</w:t>
      </w:r>
      <w:r w:rsidRPr="0064699E">
        <w:rPr>
          <w:rFonts w:asciiTheme="majorBidi" w:hAnsiTheme="majorBidi" w:cstheme="majorBidi"/>
          <w:lang w:val="fr-FR"/>
        </w:rPr>
        <w:t xml:space="preserve"> MIRD </w:t>
      </w:r>
      <w:r w:rsidRPr="0064699E">
        <w:rPr>
          <w:rFonts w:asciiTheme="majorBidi" w:hAnsiTheme="majorBidi" w:cstheme="majorBidi"/>
          <w:rtl/>
        </w:rPr>
        <w:t xml:space="preserve">هو الأكثر تخصيصاً، لكنه يحتاج أدوات متقدمة. </w:t>
      </w:r>
      <w:proofErr w:type="spellStart"/>
      <w:r w:rsidRPr="0064699E">
        <w:rPr>
          <w:rFonts w:asciiTheme="majorBidi" w:hAnsiTheme="majorBidi" w:cstheme="majorBidi"/>
          <w:rtl/>
        </w:rPr>
        <w:t>مارينيلي</w:t>
      </w:r>
      <w:proofErr w:type="spellEnd"/>
      <w:r w:rsidRPr="0064699E">
        <w:rPr>
          <w:rFonts w:asciiTheme="majorBidi" w:hAnsiTheme="majorBidi" w:cstheme="majorBidi"/>
          <w:rtl/>
        </w:rPr>
        <w:t xml:space="preserve"> مناسب في البيئات المحدودة. قياس الجرعات بالذكاء الاصطناعي قد يحسّن الدقة مستقبلاً</w:t>
      </w:r>
      <w:r w:rsidRPr="0064699E">
        <w:rPr>
          <w:rFonts w:asciiTheme="majorBidi" w:hAnsiTheme="majorBidi" w:cstheme="majorBidi"/>
          <w:lang w:val="fr-FR"/>
        </w:rPr>
        <w:t>.</w:t>
      </w:r>
      <w:r w:rsidRPr="0064699E">
        <w:rPr>
          <w:rFonts w:asciiTheme="majorBidi" w:hAnsiTheme="majorBidi" w:cstheme="majorBidi"/>
          <w:lang w:val="fr-FR"/>
        </w:rPr>
        <w:br/>
      </w:r>
      <w:r w:rsidRPr="0064699E">
        <w:rPr>
          <w:rFonts w:asciiTheme="majorBidi" w:hAnsiTheme="majorBidi" w:cstheme="majorBidi"/>
          <w:b/>
          <w:bCs/>
          <w:rtl/>
        </w:rPr>
        <w:t>الكلمات المفتاحية</w:t>
      </w:r>
      <w:r w:rsidRPr="0064699E">
        <w:rPr>
          <w:rFonts w:asciiTheme="majorBidi" w:hAnsiTheme="majorBidi" w:cstheme="majorBidi"/>
          <w:b/>
          <w:bCs/>
          <w:lang w:val="fr-FR"/>
        </w:rPr>
        <w:t>:</w:t>
      </w:r>
      <w:r w:rsidRPr="0064699E">
        <w:rPr>
          <w:rFonts w:asciiTheme="majorBidi" w:hAnsiTheme="majorBidi" w:cstheme="majorBidi"/>
          <w:lang w:val="fr-FR"/>
        </w:rPr>
        <w:t xml:space="preserve"> </w:t>
      </w:r>
      <w:r w:rsidRPr="0064699E">
        <w:rPr>
          <w:rFonts w:asciiTheme="majorBidi" w:hAnsiTheme="majorBidi" w:cstheme="majorBidi"/>
          <w:rtl/>
        </w:rPr>
        <w:t xml:space="preserve">مرض </w:t>
      </w:r>
      <w:proofErr w:type="spellStart"/>
      <w:r w:rsidRPr="0064699E">
        <w:rPr>
          <w:rFonts w:asciiTheme="majorBidi" w:hAnsiTheme="majorBidi" w:cstheme="majorBidi"/>
          <w:rtl/>
        </w:rPr>
        <w:t>جريفز</w:t>
      </w:r>
      <w:proofErr w:type="spellEnd"/>
      <w:r w:rsidRPr="0064699E">
        <w:rPr>
          <w:rFonts w:asciiTheme="majorBidi" w:hAnsiTheme="majorBidi" w:cstheme="majorBidi"/>
          <w:rtl/>
        </w:rPr>
        <w:t>، العلاج باليود المشع، حجم الغدة الدرقية، نماذج قياس الجرعات</w:t>
      </w:r>
      <w:r w:rsidRPr="0064699E">
        <w:rPr>
          <w:rFonts w:asciiTheme="majorBidi" w:hAnsiTheme="majorBidi" w:cstheme="majorBidi"/>
          <w:lang w:val="fr-FR"/>
        </w:rPr>
        <w:t>.</w:t>
      </w:r>
    </w:p>
    <w:p w14:paraId="397AC8D5" w14:textId="77777777" w:rsidR="00CC2A0D" w:rsidRDefault="00CC2A0D"/>
    <w:sectPr w:rsidR="00CC2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54B1" w14:textId="77777777" w:rsidR="00DC2375" w:rsidRDefault="00DC2375" w:rsidP="00A92BFA">
      <w:pPr>
        <w:spacing w:after="0" w:line="240" w:lineRule="auto"/>
      </w:pPr>
      <w:r>
        <w:separator/>
      </w:r>
    </w:p>
  </w:endnote>
  <w:endnote w:type="continuationSeparator" w:id="0">
    <w:p w14:paraId="6636577A" w14:textId="77777777" w:rsidR="00DC2375" w:rsidRDefault="00DC2375" w:rsidP="00A9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CBB6" w14:textId="77777777" w:rsidR="00DC2375" w:rsidRDefault="00DC2375" w:rsidP="00A92BFA">
      <w:pPr>
        <w:spacing w:after="0" w:line="240" w:lineRule="auto"/>
      </w:pPr>
      <w:r>
        <w:separator/>
      </w:r>
    </w:p>
  </w:footnote>
  <w:footnote w:type="continuationSeparator" w:id="0">
    <w:p w14:paraId="5FBC1A30" w14:textId="77777777" w:rsidR="00DC2375" w:rsidRDefault="00DC2375" w:rsidP="00A92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FA"/>
    <w:rsid w:val="0005708A"/>
    <w:rsid w:val="0012014C"/>
    <w:rsid w:val="00120D15"/>
    <w:rsid w:val="002477C8"/>
    <w:rsid w:val="00A92BFA"/>
    <w:rsid w:val="00C24106"/>
    <w:rsid w:val="00CC2A0D"/>
    <w:rsid w:val="00CD50A4"/>
    <w:rsid w:val="00D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71E6"/>
  <w15:chartTrackingRefBased/>
  <w15:docId w15:val="{30EA3D3B-D31C-4A18-A18E-DBBC398C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FA"/>
    <w:pPr>
      <w:bidi/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BFA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BFA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BFA"/>
    <w:pPr>
      <w:keepNext/>
      <w:keepLines/>
      <w:bidi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BFA"/>
    <w:pPr>
      <w:keepNext/>
      <w:keepLines/>
      <w:bidi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fr-F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BFA"/>
    <w:pPr>
      <w:keepNext/>
      <w:keepLines/>
      <w:bidi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fr-F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BFA"/>
    <w:pPr>
      <w:keepNext/>
      <w:keepLines/>
      <w:bidi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BFA"/>
    <w:pPr>
      <w:keepNext/>
      <w:keepLines/>
      <w:bidi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fr-F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BFA"/>
    <w:pPr>
      <w:keepNext/>
      <w:keepLines/>
      <w:bidi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BFA"/>
    <w:pPr>
      <w:keepNext/>
      <w:keepLines/>
      <w:bidi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B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B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BFA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BFA"/>
    <w:pPr>
      <w:numPr>
        <w:ilvl w:val="1"/>
      </w:numPr>
      <w:bidi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2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BFA"/>
    <w:pPr>
      <w:bidi w:val="0"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2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BFA"/>
    <w:pPr>
      <w:bidi w:val="0"/>
      <w:spacing w:after="160" w:line="259" w:lineRule="auto"/>
      <w:ind w:left="720"/>
      <w:contextualSpacing/>
    </w:pPr>
    <w:rPr>
      <w:kern w:val="2"/>
      <w:lang w:val="fr-F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2B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B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B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2BFA"/>
    <w:pPr>
      <w:tabs>
        <w:tab w:val="center" w:pos="4536"/>
        <w:tab w:val="right" w:pos="9072"/>
      </w:tabs>
      <w:bidi w:val="0"/>
      <w:spacing w:after="0" w:line="240" w:lineRule="auto"/>
    </w:pPr>
    <w:rPr>
      <w:kern w:val="2"/>
      <w:lang w:val="fr-F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92BFA"/>
  </w:style>
  <w:style w:type="paragraph" w:styleId="Footer">
    <w:name w:val="footer"/>
    <w:basedOn w:val="Normal"/>
    <w:link w:val="FooterChar"/>
    <w:uiPriority w:val="99"/>
    <w:unhideWhenUsed/>
    <w:rsid w:val="00A92BFA"/>
    <w:pPr>
      <w:tabs>
        <w:tab w:val="center" w:pos="4536"/>
        <w:tab w:val="right" w:pos="9072"/>
      </w:tabs>
      <w:bidi w:val="0"/>
      <w:spacing w:after="0" w:line="240" w:lineRule="auto"/>
    </w:pPr>
    <w:rPr>
      <w:kern w:val="2"/>
      <w:lang w:val="fr-F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92BFA"/>
  </w:style>
  <w:style w:type="table" w:styleId="TableGrid">
    <w:name w:val="Table Grid"/>
    <w:basedOn w:val="TableNormal"/>
    <w:uiPriority w:val="39"/>
    <w:rsid w:val="00A92BFA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92B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92BF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2BFA"/>
    <w:pPr>
      <w:spacing w:before="360" w:after="360"/>
    </w:pPr>
    <w:rPr>
      <w:rFonts w:cstheme="minorHAnsi"/>
      <w:b/>
      <w:bCs/>
      <w:caps/>
      <w:szCs w:val="26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92BFA"/>
    <w:pPr>
      <w:spacing w:after="0"/>
    </w:pPr>
    <w:rPr>
      <w:rFonts w:cstheme="minorHAnsi"/>
      <w:b/>
      <w:bCs/>
      <w:smallCap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1288</Words>
  <Characters>7090</Characters>
  <Application>Microsoft Office Word</Application>
  <DocSecurity>0</DocSecurity>
  <Lines>59</Lines>
  <Paragraphs>16</Paragraphs>
  <ScaleCrop>false</ScaleCrop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2025-06-28T16:47:00Z</dcterms:created>
  <dcterms:modified xsi:type="dcterms:W3CDTF">2025-06-28T16:54:00Z</dcterms:modified>
</cp:coreProperties>
</file>