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217" w14:textId="77777777" w:rsidR="00AA0244" w:rsidRPr="00AA0244" w:rsidRDefault="00AA0244" w:rsidP="00AA0244">
      <w:pPr>
        <w:pStyle w:val="Heading1"/>
        <w:bidi/>
        <w:jc w:val="center"/>
        <w:rPr>
          <w:rFonts w:asciiTheme="majorBidi" w:hAnsiTheme="majorBidi"/>
          <w:b/>
          <w:bCs/>
          <w:color w:val="auto"/>
          <w:rtl/>
        </w:rPr>
      </w:pPr>
      <w:bookmarkStart w:id="0" w:name="_Toc201005993"/>
      <w:r w:rsidRPr="00AA0244">
        <w:rPr>
          <w:rFonts w:asciiTheme="majorBidi" w:hAnsiTheme="majorBidi"/>
          <w:b/>
          <w:bCs/>
          <w:color w:val="auto"/>
          <w:rtl/>
        </w:rPr>
        <w:t>ملخص</w:t>
      </w:r>
      <w:bookmarkEnd w:id="0"/>
    </w:p>
    <w:p w14:paraId="0FB07E71" w14:textId="77777777" w:rsidR="00AA0244" w:rsidRPr="00665181" w:rsidRDefault="00AA0244" w:rsidP="00AA0244">
      <w:pPr>
        <w:bidi/>
        <w:rPr>
          <w:rtl/>
        </w:rPr>
      </w:pPr>
    </w:p>
    <w:p w14:paraId="00EF769E" w14:textId="77777777" w:rsidR="00AA0244" w:rsidRPr="00665181" w:rsidRDefault="00AA0244" w:rsidP="00AA0244">
      <w:pPr>
        <w:bidi/>
        <w:jc w:val="both"/>
        <w:rPr>
          <w:rFonts w:asciiTheme="majorBidi" w:eastAsia="Times New Roman" w:hAnsiTheme="majorBidi" w:cstheme="majorBidi"/>
          <w:b/>
          <w:color w:val="000000"/>
          <w:sz w:val="28"/>
          <w:szCs w:val="28"/>
        </w:rPr>
      </w:pPr>
      <w:r w:rsidRPr="00665181">
        <w:rPr>
          <w:rFonts w:asciiTheme="majorBidi" w:eastAsia="Times New Roman" w:hAnsiTheme="majorBidi" w:cstheme="majorBidi"/>
          <w:b/>
          <w:color w:val="000000"/>
          <w:sz w:val="28"/>
          <w:szCs w:val="28"/>
          <w:rtl/>
        </w:rPr>
        <w:t>هدفت هذه الدراسة إلى تحليل أثر كفاية رأس المال على الأداء المالي للبنوك التجارية في المملكة العربية السعودية خلال الفترة 20</w:t>
      </w:r>
      <w:r w:rsidRPr="00665181">
        <w:rPr>
          <w:rFonts w:asciiTheme="majorBidi" w:eastAsia="Times New Roman" w:hAnsiTheme="majorBidi" w:cstheme="majorBidi"/>
          <w:bCs/>
          <w:color w:val="000000"/>
          <w:sz w:val="28"/>
          <w:szCs w:val="28"/>
          <w:lang w:val="fr-FR"/>
        </w:rPr>
        <w:t>20</w:t>
      </w:r>
      <w:r w:rsidRPr="00665181">
        <w:rPr>
          <w:rFonts w:asciiTheme="majorBidi" w:eastAsia="Times New Roman" w:hAnsiTheme="majorBidi" w:cstheme="majorBidi"/>
          <w:b/>
          <w:color w:val="000000"/>
          <w:sz w:val="28"/>
          <w:szCs w:val="28"/>
          <w:rtl/>
        </w:rPr>
        <w:t>–2025. يتركز البحث على العلاقة بين رأس المال والمخاطر المصرفية، بالاستناد إلى اتفاقيات بازل (1، 2، 3) التي تسعى إلى تعزيز الاستقرار المالي. اعتمدت الدراسة على بيانات مالية فعلية للبنوك السعودية، باستخدام نماذج إحصائية مثل الانحدار الخطي وتحليل البيانات المقطعية الزمنية. أظهرت النتائج أن ارتفاع كفاية رأس المال يساهم في تحسين الأداء المالي، خصوصًا فيما يتعلق بالعائد على الأصول (</w:t>
      </w:r>
      <w:r w:rsidRPr="00665181">
        <w:rPr>
          <w:rFonts w:asciiTheme="majorBidi" w:eastAsia="Times New Roman" w:hAnsiTheme="majorBidi" w:cstheme="majorBidi"/>
          <w:b/>
          <w:color w:val="000000"/>
          <w:sz w:val="28"/>
          <w:szCs w:val="28"/>
        </w:rPr>
        <w:t>ROA</w:t>
      </w:r>
      <w:r w:rsidRPr="00665181">
        <w:rPr>
          <w:rFonts w:asciiTheme="majorBidi" w:eastAsia="Times New Roman" w:hAnsiTheme="majorBidi" w:cstheme="majorBidi"/>
          <w:b/>
          <w:color w:val="000000"/>
          <w:sz w:val="28"/>
          <w:szCs w:val="28"/>
          <w:rtl/>
        </w:rPr>
        <w:t>) والعائد على حقوق الملكية (</w:t>
      </w:r>
      <w:r w:rsidRPr="00665181">
        <w:rPr>
          <w:rFonts w:asciiTheme="majorBidi" w:eastAsia="Times New Roman" w:hAnsiTheme="majorBidi" w:cstheme="majorBidi"/>
          <w:b/>
          <w:color w:val="000000"/>
          <w:sz w:val="28"/>
          <w:szCs w:val="28"/>
        </w:rPr>
        <w:t>ROE</w:t>
      </w:r>
      <w:r w:rsidRPr="00665181">
        <w:rPr>
          <w:rFonts w:asciiTheme="majorBidi" w:eastAsia="Times New Roman" w:hAnsiTheme="majorBidi" w:cstheme="majorBidi"/>
          <w:b/>
          <w:color w:val="000000"/>
          <w:sz w:val="28"/>
          <w:szCs w:val="28"/>
          <w:rtl/>
        </w:rPr>
        <w:t>)، مع تسجيل تأثير واضح لعوامل السيولة ونسبة القروض إلى الودائع.</w:t>
      </w:r>
    </w:p>
    <w:p w14:paraId="7DA63C66" w14:textId="77777777" w:rsidR="00AA0244" w:rsidRPr="00665181" w:rsidRDefault="00AA0244" w:rsidP="00AA0244">
      <w:pPr>
        <w:bidi/>
        <w:jc w:val="both"/>
        <w:rPr>
          <w:rFonts w:asciiTheme="majorBidi" w:hAnsiTheme="majorBidi" w:cstheme="majorBidi"/>
          <w:b/>
          <w:bCs/>
          <w:sz w:val="32"/>
          <w:szCs w:val="32"/>
          <w:rtl/>
        </w:rPr>
      </w:pPr>
    </w:p>
    <w:p w14:paraId="6D680D50" w14:textId="77777777" w:rsidR="00AA0244" w:rsidRPr="00665181" w:rsidRDefault="00AA0244" w:rsidP="00AA0244">
      <w:pPr>
        <w:bidi/>
        <w:jc w:val="both"/>
        <w:rPr>
          <w:rFonts w:asciiTheme="majorBidi" w:hAnsiTheme="majorBidi" w:cstheme="majorBidi"/>
          <w:b/>
          <w:bCs/>
          <w:sz w:val="28"/>
          <w:szCs w:val="28"/>
          <w:rtl/>
        </w:rPr>
      </w:pPr>
      <w:r w:rsidRPr="00665181">
        <w:rPr>
          <w:rFonts w:asciiTheme="majorBidi" w:hAnsiTheme="majorBidi" w:cstheme="majorBidi"/>
          <w:b/>
          <w:bCs/>
          <w:sz w:val="28"/>
          <w:szCs w:val="28"/>
          <w:rtl/>
        </w:rPr>
        <w:t xml:space="preserve">الكلمات المفتاحية: </w:t>
      </w:r>
      <w:r w:rsidRPr="00665181">
        <w:rPr>
          <w:rFonts w:asciiTheme="majorBidi" w:hAnsiTheme="majorBidi" w:cstheme="majorBidi"/>
          <w:sz w:val="28"/>
          <w:szCs w:val="28"/>
          <w:rtl/>
        </w:rPr>
        <w:t>كفاية رأس المال، الأداء المالي، البنوك التجارية</w:t>
      </w:r>
      <w:r w:rsidRPr="00665181">
        <w:rPr>
          <w:rFonts w:asciiTheme="majorBidi" w:hAnsiTheme="majorBidi" w:cstheme="majorBidi"/>
          <w:sz w:val="28"/>
          <w:szCs w:val="28"/>
        </w:rPr>
        <w:t>.</w:t>
      </w:r>
    </w:p>
    <w:p w14:paraId="4BD3AFF8" w14:textId="77777777" w:rsidR="00AA0244" w:rsidRDefault="00AA0244" w:rsidP="00AA0244">
      <w:pPr>
        <w:jc w:val="both"/>
        <w:rPr>
          <w:rFonts w:ascii="Times New Roman" w:eastAsia="Times New Roman" w:hAnsi="Times New Roman" w:cs="Times New Roman"/>
          <w:b/>
          <w:color w:val="000000"/>
          <w:sz w:val="28"/>
          <w:szCs w:val="28"/>
          <w:rtl/>
        </w:rPr>
      </w:pPr>
    </w:p>
    <w:p w14:paraId="1312AB51" w14:textId="77777777" w:rsidR="00AA0244" w:rsidRDefault="00AA0244" w:rsidP="00AA0244">
      <w:pPr>
        <w:pStyle w:val="Heading3"/>
        <w:keepNext w:val="0"/>
        <w:keepLines w:val="0"/>
        <w:bidi/>
        <w:spacing w:before="280" w:line="360" w:lineRule="auto"/>
        <w:jc w:val="both"/>
        <w:rPr>
          <w:rFonts w:ascii="Times New Roman" w:eastAsia="Times New Roman" w:hAnsi="Times New Roman" w:cs="Times New Roman"/>
          <w:b/>
          <w:color w:val="000000"/>
          <w:rtl/>
        </w:rPr>
      </w:pPr>
    </w:p>
    <w:p w14:paraId="4E42FD52" w14:textId="77777777" w:rsidR="00AA0244" w:rsidRDefault="00AA0244" w:rsidP="00AA0244">
      <w:pPr>
        <w:bidi/>
        <w:rPr>
          <w:rtl/>
        </w:rPr>
      </w:pPr>
    </w:p>
    <w:p w14:paraId="7AFD03C9" w14:textId="77777777" w:rsidR="00AA0244" w:rsidRDefault="00AA0244" w:rsidP="00AA0244">
      <w:pPr>
        <w:bidi/>
        <w:rPr>
          <w:rtl/>
        </w:rPr>
      </w:pPr>
    </w:p>
    <w:p w14:paraId="57871D6B" w14:textId="77777777" w:rsidR="00AA0244" w:rsidRDefault="00AA0244" w:rsidP="00AA0244">
      <w:pPr>
        <w:bidi/>
        <w:rPr>
          <w:rtl/>
        </w:rPr>
      </w:pPr>
    </w:p>
    <w:p w14:paraId="7580852F" w14:textId="77777777" w:rsidR="00AA0244" w:rsidRDefault="00AA0244" w:rsidP="00AA0244">
      <w:pPr>
        <w:bidi/>
        <w:rPr>
          <w:rtl/>
        </w:rPr>
      </w:pPr>
    </w:p>
    <w:p w14:paraId="5E824AD1" w14:textId="77777777" w:rsidR="00AA0244" w:rsidRDefault="00AA0244" w:rsidP="00AA0244">
      <w:pPr>
        <w:bidi/>
        <w:rPr>
          <w:rtl/>
        </w:rPr>
      </w:pPr>
    </w:p>
    <w:p w14:paraId="477D1FBF" w14:textId="77777777" w:rsidR="00AA0244" w:rsidRDefault="00AA0244" w:rsidP="00AA0244">
      <w:pPr>
        <w:bidi/>
        <w:rPr>
          <w:rtl/>
        </w:rPr>
      </w:pPr>
    </w:p>
    <w:p w14:paraId="2637CAD7" w14:textId="77777777" w:rsidR="00AA0244" w:rsidRDefault="00AA0244" w:rsidP="00AA0244">
      <w:pPr>
        <w:bidi/>
        <w:rPr>
          <w:rtl/>
        </w:rPr>
      </w:pPr>
    </w:p>
    <w:p w14:paraId="456D5586" w14:textId="77777777" w:rsidR="00AA0244" w:rsidRDefault="00AA0244" w:rsidP="00AA0244">
      <w:pPr>
        <w:bidi/>
        <w:rPr>
          <w:rtl/>
        </w:rPr>
      </w:pPr>
    </w:p>
    <w:p w14:paraId="0E76D118" w14:textId="77777777" w:rsidR="00AA0244" w:rsidRDefault="00AA0244" w:rsidP="00AA0244">
      <w:pPr>
        <w:bidi/>
        <w:rPr>
          <w:rtl/>
        </w:rPr>
      </w:pPr>
    </w:p>
    <w:p w14:paraId="7F405045" w14:textId="77777777" w:rsidR="00AA0244" w:rsidRDefault="00AA0244" w:rsidP="00AA0244">
      <w:pPr>
        <w:bidi/>
        <w:rPr>
          <w:rtl/>
        </w:rPr>
      </w:pPr>
    </w:p>
    <w:p w14:paraId="61545D00" w14:textId="77777777" w:rsidR="00AA0244" w:rsidRDefault="00AA0244" w:rsidP="00AA0244">
      <w:pPr>
        <w:bidi/>
        <w:rPr>
          <w:rtl/>
        </w:rPr>
      </w:pPr>
    </w:p>
    <w:p w14:paraId="7C80C59A" w14:textId="77777777" w:rsidR="00AA0244" w:rsidRDefault="00AA0244" w:rsidP="00AA0244">
      <w:pPr>
        <w:bidi/>
        <w:rPr>
          <w:rtl/>
        </w:rPr>
      </w:pPr>
    </w:p>
    <w:p w14:paraId="7329A7C4" w14:textId="77777777" w:rsidR="00AA0244" w:rsidRDefault="00AA0244" w:rsidP="00AA0244">
      <w:pPr>
        <w:bidi/>
        <w:rPr>
          <w:rtl/>
        </w:rPr>
      </w:pPr>
    </w:p>
    <w:p w14:paraId="2016101A" w14:textId="77777777" w:rsidR="00AA0244" w:rsidRDefault="00AA0244" w:rsidP="00AA0244">
      <w:pPr>
        <w:bidi/>
        <w:rPr>
          <w:rtl/>
        </w:rPr>
      </w:pPr>
    </w:p>
    <w:p w14:paraId="09747FB4" w14:textId="77777777" w:rsidR="00AA0244" w:rsidRDefault="00AA0244" w:rsidP="00AA0244">
      <w:pPr>
        <w:bidi/>
        <w:rPr>
          <w:rtl/>
        </w:rPr>
      </w:pPr>
    </w:p>
    <w:p w14:paraId="5553D017" w14:textId="77777777" w:rsidR="00AA0244" w:rsidRDefault="00AA0244" w:rsidP="00AA0244">
      <w:pPr>
        <w:bidi/>
        <w:rPr>
          <w:rtl/>
        </w:rPr>
      </w:pPr>
    </w:p>
    <w:p w14:paraId="0B62E8F0" w14:textId="77777777" w:rsidR="00AA0244" w:rsidRDefault="00AA0244" w:rsidP="00AA0244">
      <w:pPr>
        <w:bidi/>
        <w:rPr>
          <w:rtl/>
        </w:rPr>
      </w:pPr>
    </w:p>
    <w:p w14:paraId="6C8EE5D9" w14:textId="77777777" w:rsidR="00AA0244" w:rsidRDefault="00AA0244" w:rsidP="00AA0244">
      <w:pPr>
        <w:bidi/>
        <w:rPr>
          <w:rtl/>
        </w:rPr>
      </w:pPr>
    </w:p>
    <w:p w14:paraId="4114AB8B" w14:textId="77777777" w:rsidR="00AA0244" w:rsidRDefault="00AA0244" w:rsidP="00AA0244">
      <w:pPr>
        <w:bidi/>
        <w:rPr>
          <w:rtl/>
        </w:rPr>
      </w:pPr>
    </w:p>
    <w:p w14:paraId="5105DB1F" w14:textId="77777777" w:rsidR="00AA0244" w:rsidRDefault="00AA0244" w:rsidP="00AA0244">
      <w:pPr>
        <w:bidi/>
        <w:rPr>
          <w:rtl/>
        </w:rPr>
      </w:pPr>
    </w:p>
    <w:p w14:paraId="68B4161E" w14:textId="77777777" w:rsidR="00AA0244" w:rsidRDefault="00AA0244" w:rsidP="00AA0244">
      <w:pPr>
        <w:bidi/>
        <w:rPr>
          <w:rtl/>
        </w:rPr>
      </w:pPr>
    </w:p>
    <w:p w14:paraId="5FC15F47" w14:textId="77777777" w:rsidR="00AA0244" w:rsidRDefault="00AA0244" w:rsidP="00AA0244">
      <w:pPr>
        <w:bidi/>
        <w:rPr>
          <w:rtl/>
        </w:rPr>
      </w:pPr>
    </w:p>
    <w:p w14:paraId="18711397" w14:textId="77777777" w:rsidR="00AA0244" w:rsidRDefault="00AA0244" w:rsidP="00AA0244">
      <w:pPr>
        <w:bidi/>
        <w:rPr>
          <w:rtl/>
        </w:rPr>
      </w:pPr>
    </w:p>
    <w:p w14:paraId="450957CE" w14:textId="77777777" w:rsidR="00AA0244" w:rsidRDefault="00AA0244" w:rsidP="00AA0244">
      <w:pPr>
        <w:bidi/>
        <w:rPr>
          <w:rtl/>
        </w:rPr>
      </w:pPr>
    </w:p>
    <w:p w14:paraId="127A4C69" w14:textId="77777777" w:rsidR="00AA0244" w:rsidRDefault="00AA0244" w:rsidP="00AA0244">
      <w:pPr>
        <w:pStyle w:val="Heading1"/>
        <w:rPr>
          <w:rFonts w:asciiTheme="majorBidi" w:hAnsiTheme="majorBidi"/>
          <w:b/>
          <w:bCs/>
          <w:sz w:val="48"/>
          <w:szCs w:val="48"/>
          <w:rtl/>
          <w:lang w:val="en-US"/>
        </w:rPr>
      </w:pPr>
      <w:bookmarkStart w:id="1" w:name="_Toc200476929"/>
      <w:bookmarkStart w:id="2" w:name="_Toc201005994"/>
    </w:p>
    <w:p w14:paraId="78D21210" w14:textId="77777777" w:rsidR="00AA0244" w:rsidRPr="00AA0244" w:rsidRDefault="00AA0244" w:rsidP="00AA0244">
      <w:pPr>
        <w:pStyle w:val="Heading1"/>
        <w:rPr>
          <w:rFonts w:asciiTheme="majorBidi" w:hAnsiTheme="majorBidi"/>
          <w:b/>
          <w:bCs/>
          <w:color w:val="auto"/>
          <w:sz w:val="44"/>
          <w:szCs w:val="44"/>
          <w:lang w:val="en-US"/>
        </w:rPr>
      </w:pPr>
      <w:r w:rsidRPr="00AA0244">
        <w:rPr>
          <w:rFonts w:asciiTheme="majorBidi" w:hAnsiTheme="majorBidi"/>
          <w:b/>
          <w:bCs/>
          <w:color w:val="auto"/>
          <w:sz w:val="44"/>
          <w:szCs w:val="44"/>
          <w:lang w:val="en-US"/>
        </w:rPr>
        <w:t>Abstract</w:t>
      </w:r>
      <w:bookmarkEnd w:id="1"/>
      <w:bookmarkEnd w:id="2"/>
    </w:p>
    <w:p w14:paraId="2E0BD950" w14:textId="77777777" w:rsidR="00AA0244" w:rsidRPr="005766C5" w:rsidRDefault="00AA0244" w:rsidP="00AA0244">
      <w:pPr>
        <w:jc w:val="both"/>
        <w:rPr>
          <w:rFonts w:asciiTheme="majorBidi" w:hAnsiTheme="majorBidi" w:cstheme="majorBidi"/>
          <w:b/>
          <w:bCs/>
          <w:sz w:val="28"/>
          <w:szCs w:val="28"/>
          <w:lang w:val="en-US"/>
        </w:rPr>
      </w:pPr>
      <w:r w:rsidRPr="005766C5">
        <w:rPr>
          <w:rFonts w:asciiTheme="majorBidi" w:hAnsiTheme="majorBidi" w:cstheme="majorBidi"/>
          <w:sz w:val="28"/>
          <w:szCs w:val="28"/>
          <w:lang w:val="en-US"/>
        </w:rPr>
        <w:t>This study aimed to analyze the impact of capital adequacy on the financial performance of commercial banks in the Kingdom of Saudi Arabia during the period 2020–2025. The research focuses on the relationship between capital and banking risks, based on the Basel I, II, and III agreements, which seek to enhance financial stability. The study relied on actual financial data for Saudi banks, using statistical models such as linear regression and cross-sectional data analysis. The results showed that higher capital adequacy contributes to improved financial performance, particularly with regard to return on assets (ROA) and return on equity (ROE), with a clear impact recorded for liquidity factors and the loan-to-deposit ratio.</w:t>
      </w:r>
    </w:p>
    <w:p w14:paraId="179CA250" w14:textId="77777777" w:rsidR="00AA0244" w:rsidRPr="005766C5" w:rsidRDefault="00AA0244" w:rsidP="00AA0244">
      <w:pPr>
        <w:rPr>
          <w:rFonts w:asciiTheme="majorBidi" w:hAnsiTheme="majorBidi" w:cstheme="majorBidi"/>
          <w:b/>
          <w:bCs/>
          <w:sz w:val="28"/>
          <w:szCs w:val="28"/>
          <w:lang w:val="en-US"/>
        </w:rPr>
      </w:pPr>
    </w:p>
    <w:p w14:paraId="6F0B9F24" w14:textId="77777777" w:rsidR="00AA0244" w:rsidRPr="005766C5" w:rsidRDefault="00AA0244" w:rsidP="00AA0244">
      <w:pPr>
        <w:rPr>
          <w:rFonts w:asciiTheme="majorBidi" w:hAnsiTheme="majorBidi" w:cstheme="majorBidi"/>
          <w:sz w:val="28"/>
          <w:szCs w:val="36"/>
          <w:lang w:val="en-US"/>
        </w:rPr>
      </w:pPr>
      <w:r w:rsidRPr="005766C5">
        <w:rPr>
          <w:rFonts w:asciiTheme="majorBidi" w:hAnsiTheme="majorBidi" w:cstheme="majorBidi"/>
          <w:b/>
          <w:bCs/>
          <w:sz w:val="28"/>
          <w:szCs w:val="28"/>
          <w:lang w:val="en-US"/>
        </w:rPr>
        <w:t>Keywords</w:t>
      </w:r>
      <w:r w:rsidRPr="005766C5">
        <w:rPr>
          <w:rFonts w:asciiTheme="majorBidi" w:hAnsiTheme="majorBidi" w:cstheme="majorBidi"/>
          <w:sz w:val="28"/>
          <w:szCs w:val="28"/>
          <w:lang w:val="en-US"/>
        </w:rPr>
        <w:t>:  Capital adequacy, financial performance, commercial banks.</w:t>
      </w:r>
    </w:p>
    <w:p w14:paraId="1BE71D22" w14:textId="77777777" w:rsidR="00945091" w:rsidRPr="00AA0244" w:rsidRDefault="00945091">
      <w:pPr>
        <w:rPr>
          <w:lang w:val="en-US"/>
        </w:rPr>
      </w:pPr>
    </w:p>
    <w:sectPr w:rsidR="00945091" w:rsidRPr="00AA02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44"/>
    <w:rsid w:val="000928CD"/>
    <w:rsid w:val="00352197"/>
    <w:rsid w:val="008A4060"/>
    <w:rsid w:val="008F1143"/>
    <w:rsid w:val="00945091"/>
    <w:rsid w:val="00AA024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86FC"/>
  <w15:chartTrackingRefBased/>
  <w15:docId w15:val="{866D5BDD-310B-453A-89EE-8D91D2A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244"/>
    <w:pPr>
      <w:spacing w:after="0" w:line="276" w:lineRule="auto"/>
    </w:pPr>
    <w:rPr>
      <w:rFonts w:ascii="Arial" w:eastAsia="Arial" w:hAnsi="Arial" w:cs="Arial"/>
      <w:lang w:val="fr" w:eastAsia="fr-FR"/>
    </w:rPr>
  </w:style>
  <w:style w:type="paragraph" w:styleId="Heading1">
    <w:name w:val="heading 1"/>
    <w:basedOn w:val="Normal"/>
    <w:next w:val="Normal"/>
    <w:link w:val="Heading1Char"/>
    <w:qFormat/>
    <w:rsid w:val="00AA024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fr-CA" w:eastAsia="en-US"/>
    </w:rPr>
  </w:style>
  <w:style w:type="paragraph" w:styleId="Heading2">
    <w:name w:val="heading 2"/>
    <w:basedOn w:val="Normal"/>
    <w:next w:val="Normal"/>
    <w:link w:val="Heading2Char"/>
    <w:uiPriority w:val="9"/>
    <w:semiHidden/>
    <w:unhideWhenUsed/>
    <w:qFormat/>
    <w:rsid w:val="00AA024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fr-CA" w:eastAsia="en-US"/>
    </w:rPr>
  </w:style>
  <w:style w:type="paragraph" w:styleId="Heading3">
    <w:name w:val="heading 3"/>
    <w:basedOn w:val="Normal"/>
    <w:next w:val="Normal"/>
    <w:link w:val="Heading3Char"/>
    <w:uiPriority w:val="9"/>
    <w:unhideWhenUsed/>
    <w:qFormat/>
    <w:rsid w:val="00AA024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fr-CA" w:eastAsia="en-US"/>
    </w:rPr>
  </w:style>
  <w:style w:type="paragraph" w:styleId="Heading4">
    <w:name w:val="heading 4"/>
    <w:basedOn w:val="Normal"/>
    <w:next w:val="Normal"/>
    <w:link w:val="Heading4Char"/>
    <w:uiPriority w:val="9"/>
    <w:semiHidden/>
    <w:unhideWhenUsed/>
    <w:qFormat/>
    <w:rsid w:val="00AA0244"/>
    <w:pPr>
      <w:keepNext/>
      <w:keepLines/>
      <w:spacing w:before="80" w:after="40" w:line="259" w:lineRule="auto"/>
      <w:outlineLvl w:val="3"/>
    </w:pPr>
    <w:rPr>
      <w:rFonts w:asciiTheme="minorHAnsi" w:eastAsiaTheme="majorEastAsia" w:hAnsiTheme="minorHAnsi" w:cstheme="majorBidi"/>
      <w:i/>
      <w:iCs/>
      <w:color w:val="2F5496" w:themeColor="accent1" w:themeShade="BF"/>
      <w:lang w:val="fr-CA" w:eastAsia="en-US"/>
    </w:rPr>
  </w:style>
  <w:style w:type="paragraph" w:styleId="Heading5">
    <w:name w:val="heading 5"/>
    <w:basedOn w:val="Normal"/>
    <w:next w:val="Normal"/>
    <w:link w:val="Heading5Char"/>
    <w:uiPriority w:val="9"/>
    <w:semiHidden/>
    <w:unhideWhenUsed/>
    <w:qFormat/>
    <w:rsid w:val="00AA0244"/>
    <w:pPr>
      <w:keepNext/>
      <w:keepLines/>
      <w:spacing w:before="80" w:after="40" w:line="259" w:lineRule="auto"/>
      <w:outlineLvl w:val="4"/>
    </w:pPr>
    <w:rPr>
      <w:rFonts w:asciiTheme="minorHAnsi" w:eastAsiaTheme="majorEastAsia" w:hAnsiTheme="minorHAnsi" w:cstheme="majorBidi"/>
      <w:color w:val="2F5496" w:themeColor="accent1" w:themeShade="BF"/>
      <w:lang w:val="fr-CA" w:eastAsia="en-US"/>
    </w:rPr>
  </w:style>
  <w:style w:type="paragraph" w:styleId="Heading6">
    <w:name w:val="heading 6"/>
    <w:basedOn w:val="Normal"/>
    <w:next w:val="Normal"/>
    <w:link w:val="Heading6Char"/>
    <w:uiPriority w:val="9"/>
    <w:semiHidden/>
    <w:unhideWhenUsed/>
    <w:qFormat/>
    <w:rsid w:val="00AA0244"/>
    <w:pPr>
      <w:keepNext/>
      <w:keepLines/>
      <w:spacing w:before="40" w:line="259" w:lineRule="auto"/>
      <w:outlineLvl w:val="5"/>
    </w:pPr>
    <w:rPr>
      <w:rFonts w:asciiTheme="minorHAnsi" w:eastAsiaTheme="majorEastAsia" w:hAnsiTheme="minorHAnsi" w:cstheme="majorBidi"/>
      <w:i/>
      <w:iCs/>
      <w:color w:val="595959" w:themeColor="text1" w:themeTint="A6"/>
      <w:lang w:val="fr-CA" w:eastAsia="en-US"/>
    </w:rPr>
  </w:style>
  <w:style w:type="paragraph" w:styleId="Heading7">
    <w:name w:val="heading 7"/>
    <w:basedOn w:val="Normal"/>
    <w:next w:val="Normal"/>
    <w:link w:val="Heading7Char"/>
    <w:uiPriority w:val="9"/>
    <w:semiHidden/>
    <w:unhideWhenUsed/>
    <w:qFormat/>
    <w:rsid w:val="00AA0244"/>
    <w:pPr>
      <w:keepNext/>
      <w:keepLines/>
      <w:spacing w:before="40" w:line="259" w:lineRule="auto"/>
      <w:outlineLvl w:val="6"/>
    </w:pPr>
    <w:rPr>
      <w:rFonts w:asciiTheme="minorHAnsi" w:eastAsiaTheme="majorEastAsia" w:hAnsiTheme="minorHAnsi" w:cstheme="majorBidi"/>
      <w:color w:val="595959" w:themeColor="text1" w:themeTint="A6"/>
      <w:lang w:val="fr-CA" w:eastAsia="en-US"/>
    </w:rPr>
  </w:style>
  <w:style w:type="paragraph" w:styleId="Heading8">
    <w:name w:val="heading 8"/>
    <w:basedOn w:val="Normal"/>
    <w:next w:val="Normal"/>
    <w:link w:val="Heading8Char"/>
    <w:uiPriority w:val="9"/>
    <w:semiHidden/>
    <w:unhideWhenUsed/>
    <w:qFormat/>
    <w:rsid w:val="00AA0244"/>
    <w:pPr>
      <w:keepNext/>
      <w:keepLines/>
      <w:spacing w:line="259" w:lineRule="auto"/>
      <w:outlineLvl w:val="7"/>
    </w:pPr>
    <w:rPr>
      <w:rFonts w:asciiTheme="minorHAnsi" w:eastAsiaTheme="majorEastAsia" w:hAnsiTheme="minorHAnsi" w:cstheme="majorBidi"/>
      <w:i/>
      <w:iCs/>
      <w:color w:val="272727" w:themeColor="text1" w:themeTint="D8"/>
      <w:lang w:val="fr-CA" w:eastAsia="en-US"/>
    </w:rPr>
  </w:style>
  <w:style w:type="paragraph" w:styleId="Heading9">
    <w:name w:val="heading 9"/>
    <w:basedOn w:val="Normal"/>
    <w:next w:val="Normal"/>
    <w:link w:val="Heading9Char"/>
    <w:uiPriority w:val="9"/>
    <w:semiHidden/>
    <w:unhideWhenUsed/>
    <w:qFormat/>
    <w:rsid w:val="00AA0244"/>
    <w:pPr>
      <w:keepNext/>
      <w:keepLines/>
      <w:spacing w:line="259" w:lineRule="auto"/>
      <w:outlineLvl w:val="8"/>
    </w:pPr>
    <w:rPr>
      <w:rFonts w:asciiTheme="minorHAnsi" w:eastAsiaTheme="majorEastAsia" w:hAnsiTheme="minorHAnsi" w:cstheme="majorBidi"/>
      <w:color w:val="272727" w:themeColor="text1" w:themeTint="D8"/>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0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44"/>
    <w:rPr>
      <w:rFonts w:eastAsiaTheme="majorEastAsia" w:cstheme="majorBidi"/>
      <w:color w:val="272727" w:themeColor="text1" w:themeTint="D8"/>
    </w:rPr>
  </w:style>
  <w:style w:type="paragraph" w:styleId="Title">
    <w:name w:val="Title"/>
    <w:basedOn w:val="Normal"/>
    <w:next w:val="Normal"/>
    <w:link w:val="TitleChar"/>
    <w:uiPriority w:val="10"/>
    <w:qFormat/>
    <w:rsid w:val="00AA0244"/>
    <w:pPr>
      <w:spacing w:after="80" w:line="240" w:lineRule="auto"/>
      <w:contextualSpacing/>
    </w:pPr>
    <w:rPr>
      <w:rFonts w:asciiTheme="majorHAnsi" w:eastAsiaTheme="majorEastAsia" w:hAnsiTheme="majorHAnsi" w:cstheme="majorBidi"/>
      <w:spacing w:val="-10"/>
      <w:kern w:val="28"/>
      <w:sz w:val="56"/>
      <w:szCs w:val="56"/>
      <w:lang w:val="fr-CA" w:eastAsia="en-US"/>
    </w:rPr>
  </w:style>
  <w:style w:type="character" w:customStyle="1" w:styleId="TitleChar">
    <w:name w:val="Title Char"/>
    <w:basedOn w:val="DefaultParagraphFont"/>
    <w:link w:val="Title"/>
    <w:uiPriority w:val="10"/>
    <w:rsid w:val="00AA0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4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fr-CA" w:eastAsia="en-US"/>
    </w:rPr>
  </w:style>
  <w:style w:type="character" w:customStyle="1" w:styleId="SubtitleChar">
    <w:name w:val="Subtitle Char"/>
    <w:basedOn w:val="DefaultParagraphFont"/>
    <w:link w:val="Subtitle"/>
    <w:uiPriority w:val="11"/>
    <w:rsid w:val="00AA0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44"/>
    <w:pPr>
      <w:spacing w:before="160" w:after="160" w:line="259" w:lineRule="auto"/>
      <w:jc w:val="center"/>
    </w:pPr>
    <w:rPr>
      <w:rFonts w:asciiTheme="minorHAnsi" w:eastAsiaTheme="minorHAnsi" w:hAnsiTheme="minorHAnsi" w:cstheme="minorBidi"/>
      <w:i/>
      <w:iCs/>
      <w:color w:val="404040" w:themeColor="text1" w:themeTint="BF"/>
      <w:lang w:val="fr-CA" w:eastAsia="en-US"/>
    </w:rPr>
  </w:style>
  <w:style w:type="character" w:customStyle="1" w:styleId="QuoteChar">
    <w:name w:val="Quote Char"/>
    <w:basedOn w:val="DefaultParagraphFont"/>
    <w:link w:val="Quote"/>
    <w:uiPriority w:val="29"/>
    <w:rsid w:val="00AA0244"/>
    <w:rPr>
      <w:i/>
      <w:iCs/>
      <w:color w:val="404040" w:themeColor="text1" w:themeTint="BF"/>
    </w:rPr>
  </w:style>
  <w:style w:type="paragraph" w:styleId="ListParagraph">
    <w:name w:val="List Paragraph"/>
    <w:basedOn w:val="Normal"/>
    <w:uiPriority w:val="34"/>
    <w:qFormat/>
    <w:rsid w:val="00AA0244"/>
    <w:pPr>
      <w:spacing w:after="160" w:line="259" w:lineRule="auto"/>
      <w:ind w:left="720"/>
      <w:contextualSpacing/>
    </w:pPr>
    <w:rPr>
      <w:rFonts w:asciiTheme="minorHAnsi" w:eastAsiaTheme="minorHAnsi" w:hAnsiTheme="minorHAnsi" w:cstheme="minorBidi"/>
      <w:lang w:val="fr-CA" w:eastAsia="en-US"/>
    </w:rPr>
  </w:style>
  <w:style w:type="character" w:styleId="IntenseEmphasis">
    <w:name w:val="Intense Emphasis"/>
    <w:basedOn w:val="DefaultParagraphFont"/>
    <w:uiPriority w:val="21"/>
    <w:qFormat/>
    <w:rsid w:val="00AA0244"/>
    <w:rPr>
      <w:i/>
      <w:iCs/>
      <w:color w:val="2F5496" w:themeColor="accent1" w:themeShade="BF"/>
    </w:rPr>
  </w:style>
  <w:style w:type="paragraph" w:styleId="IntenseQuote">
    <w:name w:val="Intense Quote"/>
    <w:basedOn w:val="Normal"/>
    <w:next w:val="Normal"/>
    <w:link w:val="IntenseQuoteChar"/>
    <w:uiPriority w:val="30"/>
    <w:qFormat/>
    <w:rsid w:val="00AA02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fr-CA" w:eastAsia="en-US"/>
    </w:rPr>
  </w:style>
  <w:style w:type="character" w:customStyle="1" w:styleId="IntenseQuoteChar">
    <w:name w:val="Intense Quote Char"/>
    <w:basedOn w:val="DefaultParagraphFont"/>
    <w:link w:val="IntenseQuote"/>
    <w:uiPriority w:val="30"/>
    <w:rsid w:val="00AA0244"/>
    <w:rPr>
      <w:i/>
      <w:iCs/>
      <w:color w:val="2F5496" w:themeColor="accent1" w:themeShade="BF"/>
    </w:rPr>
  </w:style>
  <w:style w:type="character" w:styleId="IntenseReference">
    <w:name w:val="Intense Reference"/>
    <w:basedOn w:val="DefaultParagraphFont"/>
    <w:uiPriority w:val="32"/>
    <w:qFormat/>
    <w:rsid w:val="00AA0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1286</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ouchen</dc:creator>
  <cp:keywords/>
  <dc:description/>
  <cp:lastModifiedBy>ikram ouchen</cp:lastModifiedBy>
  <cp:revision>1</cp:revision>
  <dcterms:created xsi:type="dcterms:W3CDTF">2025-09-27T15:09:00Z</dcterms:created>
  <dcterms:modified xsi:type="dcterms:W3CDTF">2025-09-27T15:10:00Z</dcterms:modified>
</cp:coreProperties>
</file>