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F166" w14:textId="77777777" w:rsidR="002E125C" w:rsidRDefault="002E125C">
      <w:pPr>
        <w:rPr>
          <w:rFonts w:ascii="Sakkal Majalla" w:hAnsi="Sakkal Majalla" w:cs="Sakkal Majalla" w:hint="cs"/>
          <w:sz w:val="28"/>
          <w:szCs w:val="28"/>
          <w:rtl/>
          <w:lang w:bidi="ar-DZ"/>
        </w:rPr>
      </w:pPr>
    </w:p>
    <w:p w14:paraId="21A79F68" w14:textId="77777777" w:rsidR="004D37F4" w:rsidRPr="004D37F4" w:rsidRDefault="004D37F4" w:rsidP="004D37F4">
      <w:pPr>
        <w:rPr>
          <w:rFonts w:ascii="Sakkal Majalla" w:hAnsi="Sakkal Majalla" w:cs="Sakkal Majalla"/>
          <w:sz w:val="28"/>
          <w:szCs w:val="28"/>
          <w:lang w:bidi="ar-DZ"/>
        </w:rPr>
      </w:pPr>
    </w:p>
    <w:p w14:paraId="369B18D9" w14:textId="77777777" w:rsidR="004D37F4" w:rsidRPr="004D37F4" w:rsidRDefault="004D37F4" w:rsidP="004D37F4">
      <w:pPr>
        <w:rPr>
          <w:rFonts w:ascii="Sakkal Majalla" w:hAnsi="Sakkal Majalla" w:cs="Sakkal Majalla"/>
          <w:b/>
          <w:bCs/>
          <w:color w:val="1F497D" w:themeColor="text2"/>
          <w:sz w:val="32"/>
          <w:szCs w:val="32"/>
          <w:lang w:bidi="ar-DZ"/>
        </w:rPr>
      </w:pPr>
      <w:r w:rsidRPr="004D37F4">
        <w:rPr>
          <w:rFonts w:ascii="Sakkal Majalla" w:hAnsi="Sakkal Majalla" w:cs="Sakkal Majalla"/>
          <w:b/>
          <w:bCs/>
          <w:color w:val="1F497D" w:themeColor="text2"/>
          <w:sz w:val="32"/>
          <w:szCs w:val="32"/>
          <w:rtl/>
          <w:lang w:bidi="ar-DZ"/>
        </w:rPr>
        <w:t>الملخص:</w:t>
      </w:r>
    </w:p>
    <w:p w14:paraId="7714FBEB" w14:textId="77777777" w:rsidR="004D37F4" w:rsidRPr="004D37F4" w:rsidRDefault="004D37F4" w:rsidP="004D37F4">
      <w:pPr>
        <w:jc w:val="both"/>
        <w:rPr>
          <w:rFonts w:ascii="Sakkal Majalla" w:hAnsi="Sakkal Majalla" w:cs="Sakkal Majalla"/>
          <w:sz w:val="32"/>
          <w:szCs w:val="32"/>
          <w:lang w:bidi="ar-DZ"/>
        </w:rPr>
      </w:pPr>
      <w:r w:rsidRPr="004D37F4">
        <w:rPr>
          <w:rFonts w:ascii="Sakkal Majalla" w:hAnsi="Sakkal Majalla" w:cs="Sakkal Majalla"/>
          <w:sz w:val="32"/>
          <w:szCs w:val="32"/>
          <w:rtl/>
          <w:lang w:bidi="ar-DZ"/>
        </w:rPr>
        <w:t>تعالج الدراسة موضوع فعالية خلية معالجة الاستعلام المالي في مكافحة الجرم المالي من خلال التوفيق بين مبدأ السرية المصرفية وواجب الإخطار بالشبهة وعلى ضوء الواقع البنكي الجزائري وتسلط الضوء على الجوانب النظرية المتعلقة بالخلية، إضافة إلى السرية المصرفية والإخطار بالشبهة، مع استعراض أبرز الدراسات السابقة للوقوف على الفجوة البحثية التي تهدف الدراسة إلى سدها. وفي الجانب التطبيقي، اعتمدت الدراسة على مقابلات ميدانية مع عدد من البنوك العاملة في الجزائر، لتقييم العلاقة بين هذه المؤسسات والخلية، وكشف التحديات العملية التي تواجهها، مع تقديم مقترحات وتوصيات لتعزيز أداء الخلية وتطوير آليات الإخطار بالشبهة ورفع فعاليتها.</w:t>
      </w:r>
    </w:p>
    <w:p w14:paraId="7B116453" w14:textId="77777777" w:rsidR="004D37F4" w:rsidRPr="004D37F4" w:rsidRDefault="004D37F4" w:rsidP="004D37F4">
      <w:pPr>
        <w:jc w:val="both"/>
        <w:rPr>
          <w:rFonts w:ascii="Sakkal Majalla" w:hAnsi="Sakkal Majalla" w:cs="Sakkal Majalla"/>
          <w:sz w:val="32"/>
          <w:szCs w:val="32"/>
          <w:lang w:bidi="ar-DZ"/>
        </w:rPr>
      </w:pPr>
      <w:r w:rsidRPr="004D37F4">
        <w:rPr>
          <w:rFonts w:ascii="Sakkal Majalla" w:hAnsi="Sakkal Majalla" w:cs="Sakkal Majalla"/>
          <w:b/>
          <w:bCs/>
          <w:sz w:val="32"/>
          <w:szCs w:val="32"/>
          <w:rtl/>
          <w:lang w:bidi="ar-DZ"/>
        </w:rPr>
        <w:t>الكلمات المفتاحية :</w:t>
      </w:r>
      <w:r w:rsidRPr="004D37F4">
        <w:rPr>
          <w:rFonts w:ascii="Sakkal Majalla" w:hAnsi="Sakkal Majalla" w:cs="Sakkal Majalla"/>
          <w:sz w:val="32"/>
          <w:szCs w:val="32"/>
          <w:rtl/>
          <w:lang w:bidi="ar-DZ"/>
        </w:rPr>
        <w:t xml:space="preserve"> فعالية خلية معالجة الاستعلام المالي،  واجب الاخطار بالشبهة، السرية المصرفية، المؤسسات البنكية</w:t>
      </w:r>
    </w:p>
    <w:p w14:paraId="6542AB07" w14:textId="77777777" w:rsidR="004D37F4" w:rsidRPr="004D37F4" w:rsidRDefault="004D37F4" w:rsidP="004D37F4">
      <w:pPr>
        <w:jc w:val="right"/>
        <w:rPr>
          <w:rFonts w:ascii="Sakkal Majalla" w:hAnsi="Sakkal Majalla" w:cs="Sakkal Majalla"/>
          <w:sz w:val="28"/>
          <w:szCs w:val="28"/>
          <w:lang w:bidi="ar-DZ"/>
        </w:rPr>
      </w:pPr>
    </w:p>
    <w:p w14:paraId="49A81484" w14:textId="6705781A" w:rsidR="004D37F4" w:rsidRPr="003C265C" w:rsidRDefault="004D37F4" w:rsidP="004D37F4">
      <w:pPr>
        <w:jc w:val="right"/>
        <w:rPr>
          <w:rFonts w:ascii="Sakkal Majalla" w:hAnsi="Sakkal Majalla" w:cs="Sakkal Majalla"/>
          <w:b/>
          <w:bCs/>
          <w:sz w:val="28"/>
          <w:szCs w:val="28"/>
          <w:lang w:bidi="ar-DZ"/>
        </w:rPr>
      </w:pPr>
      <w:r w:rsidRPr="003C265C">
        <w:rPr>
          <w:rFonts w:ascii="Sakkal Majalla" w:hAnsi="Sakkal Majalla" w:cs="Sakkal Majalla"/>
          <w:b/>
          <w:bCs/>
          <w:sz w:val="28"/>
          <w:szCs w:val="28"/>
          <w:lang w:bidi="ar-DZ"/>
        </w:rPr>
        <w:t>Abstract</w:t>
      </w:r>
      <w:r w:rsidR="003C265C">
        <w:rPr>
          <w:rFonts w:ascii="Sakkal Majalla" w:hAnsi="Sakkal Majalla" w:cs="Sakkal Majalla"/>
          <w:b/>
          <w:bCs/>
          <w:sz w:val="28"/>
          <w:szCs w:val="28"/>
          <w:lang w:bidi="ar-DZ"/>
        </w:rPr>
        <w:t>:</w:t>
      </w:r>
    </w:p>
    <w:p w14:paraId="5027F826" w14:textId="77777777" w:rsidR="004D37F4" w:rsidRPr="004D37F4" w:rsidRDefault="004D37F4" w:rsidP="000842D9">
      <w:pPr>
        <w:jc w:val="right"/>
        <w:rPr>
          <w:rFonts w:ascii="Sakkal Majalla" w:hAnsi="Sakkal Majalla" w:cs="Sakkal Majalla"/>
          <w:sz w:val="28"/>
          <w:szCs w:val="28"/>
          <w:rtl/>
          <w:lang w:bidi="ar-DZ"/>
        </w:rPr>
      </w:pPr>
      <w:r w:rsidRPr="004D37F4">
        <w:rPr>
          <w:rFonts w:ascii="Sakkal Majalla" w:hAnsi="Sakkal Majalla" w:cs="Sakkal Majalla"/>
          <w:sz w:val="28"/>
          <w:szCs w:val="28"/>
          <w:lang w:bidi="ar-DZ"/>
        </w:rPr>
        <w:t>This study addresses the effectiveness of the Financial Intelligence Unit in combating financial crime by balancing the principle of banking secrecy with the obligation to report suspicious transactions, in light of the Algerian banking context. It highlights the theoretical aspects related to the unit, banking secrecy, and suspicious transaction reporting, while reviewing key previous studies to identify the research gap that this study aims to fill. On the practical side, the study relies on field interviews conducted with several banks operating in Algeria to assess the relationship between these institutions and the unit, uncover the practical challenges faced, and provide recommendations to enhance the unit’s performance, improve suspicious transaction reporting mechanisms, and increase their effectiveness</w:t>
      </w:r>
      <w:r w:rsidRPr="004D37F4">
        <w:rPr>
          <w:rFonts w:ascii="Sakkal Majalla" w:hAnsi="Sakkal Majalla" w:cs="Sakkal Majalla"/>
          <w:sz w:val="28"/>
          <w:szCs w:val="28"/>
          <w:rtl/>
          <w:lang w:bidi="ar-DZ"/>
        </w:rPr>
        <w:t>.</w:t>
      </w:r>
    </w:p>
    <w:p w14:paraId="44EDD2D1" w14:textId="5177C88C" w:rsidR="004D37F4" w:rsidRPr="00F96E29" w:rsidRDefault="004D37F4" w:rsidP="004D37F4">
      <w:pPr>
        <w:jc w:val="both"/>
        <w:rPr>
          <w:rFonts w:ascii="Sakkal Majalla" w:hAnsi="Sakkal Majalla" w:cs="Sakkal Majalla"/>
          <w:sz w:val="28"/>
          <w:szCs w:val="28"/>
          <w:rtl/>
          <w:lang w:bidi="ar-DZ"/>
        </w:rPr>
      </w:pPr>
      <w:r w:rsidRPr="003C265C">
        <w:rPr>
          <w:rFonts w:ascii="Sakkal Majalla" w:hAnsi="Sakkal Majalla" w:cs="Sakkal Majalla"/>
          <w:b/>
          <w:bCs/>
          <w:sz w:val="28"/>
          <w:szCs w:val="28"/>
          <w:lang w:bidi="ar-DZ"/>
        </w:rPr>
        <w:t xml:space="preserve">Keywords: </w:t>
      </w:r>
      <w:r w:rsidRPr="004D37F4">
        <w:rPr>
          <w:rFonts w:ascii="Sakkal Majalla" w:hAnsi="Sakkal Majalla" w:cs="Sakkal Majalla"/>
          <w:sz w:val="28"/>
          <w:szCs w:val="28"/>
          <w:lang w:bidi="ar-DZ"/>
        </w:rPr>
        <w:t>Effectiveness of the Financial Intelligence Unit, Suspicious Transaction Reporting Obligation, Banking Secrecy, Banking Institutions</w:t>
      </w:r>
    </w:p>
    <w:sectPr w:rsidR="004D37F4" w:rsidRPr="00F96E29" w:rsidSect="00A56EF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DB35" w14:textId="77777777" w:rsidR="00950B03" w:rsidRDefault="00950B03" w:rsidP="00F96E29">
      <w:pPr>
        <w:spacing w:after="0" w:line="240" w:lineRule="auto"/>
      </w:pPr>
      <w:r>
        <w:separator/>
      </w:r>
    </w:p>
  </w:endnote>
  <w:endnote w:type="continuationSeparator" w:id="0">
    <w:p w14:paraId="116865DA" w14:textId="77777777" w:rsidR="00950B03" w:rsidRDefault="00950B03" w:rsidP="00F9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7E30" w14:textId="77777777" w:rsidR="00950B03" w:rsidRDefault="00950B03" w:rsidP="00F96E29">
      <w:pPr>
        <w:spacing w:after="0" w:line="240" w:lineRule="auto"/>
      </w:pPr>
      <w:r>
        <w:separator/>
      </w:r>
    </w:p>
  </w:footnote>
  <w:footnote w:type="continuationSeparator" w:id="0">
    <w:p w14:paraId="2D7C2A6E" w14:textId="77777777" w:rsidR="00950B03" w:rsidRDefault="00950B03" w:rsidP="00F96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F53C" w14:textId="4252805F" w:rsidR="00F96E29" w:rsidRDefault="00F96E29">
    <w:pPr>
      <w:pStyle w:val="Header"/>
    </w:pPr>
    <w:r>
      <w:rPr>
        <w:noProof/>
      </w:rPr>
      <mc:AlternateContent>
        <mc:Choice Requires="wps">
          <w:drawing>
            <wp:anchor distT="0" distB="0" distL="118745" distR="118745" simplePos="0" relativeHeight="251659264" behindDoc="1" locked="0" layoutInCell="1" allowOverlap="0" wp14:anchorId="72138770" wp14:editId="05D74C4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Sakkal Majalla" w:hAnsi="Sakkal Majalla" w:cs="Sakkal Majalla"/>
                              <w:b/>
                              <w:bCs/>
                              <w:caps/>
                              <w:color w:val="17365D" w:themeColor="text2" w:themeShade="BF"/>
                              <w:sz w:val="32"/>
                              <w:szCs w:val="32"/>
                              <w:rt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6CADAB5" w14:textId="157301D5" w:rsidR="00F96E29" w:rsidRPr="004D37F4" w:rsidRDefault="0058016D">
                              <w:pPr>
                                <w:pStyle w:val="Header"/>
                                <w:jc w:val="center"/>
                                <w:rPr>
                                  <w:rFonts w:ascii="Sakkal Majalla" w:hAnsi="Sakkal Majalla" w:cs="Sakkal Majalla"/>
                                  <w:b/>
                                  <w:bCs/>
                                  <w:caps/>
                                  <w:color w:val="17365D" w:themeColor="text2" w:themeShade="BF"/>
                                  <w:sz w:val="32"/>
                                  <w:szCs w:val="32"/>
                                </w:rPr>
                              </w:pPr>
                              <w:r w:rsidRPr="004D37F4">
                                <w:rPr>
                                  <w:rFonts w:ascii="Sakkal Majalla" w:hAnsi="Sakkal Majalla" w:cs="Sakkal Majalla"/>
                                  <w:b/>
                                  <w:bCs/>
                                  <w:caps/>
                                  <w:color w:val="17365D" w:themeColor="text2" w:themeShade="BF"/>
                                  <w:sz w:val="32"/>
                                  <w:szCs w:val="32"/>
                                  <w:rtl/>
                                </w:rPr>
                                <w:t>الملخص</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2138770"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" o:allowoverlap="f" fillcolor="#c6d9f1 [671]" stroked="f" strokeweight="2pt">
              <v:textbox style="mso-fit-shape-to-text:t">
                <w:txbxContent>
                  <w:sdt>
                    <w:sdtPr>
                      <w:rPr>
                        <w:rFonts w:ascii="Sakkal Majalla" w:hAnsi="Sakkal Majalla" w:cs="Sakkal Majalla"/>
                        <w:b/>
                        <w:bCs/>
                        <w:caps/>
                        <w:color w:val="17365D" w:themeColor="text2" w:themeShade="BF"/>
                        <w:sz w:val="32"/>
                        <w:szCs w:val="32"/>
                        <w:rt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6CADAB5" w14:textId="157301D5" w:rsidR="00F96E29" w:rsidRPr="004D37F4" w:rsidRDefault="0058016D">
                        <w:pPr>
                          <w:pStyle w:val="Header"/>
                          <w:jc w:val="center"/>
                          <w:rPr>
                            <w:rFonts w:ascii="Sakkal Majalla" w:hAnsi="Sakkal Majalla" w:cs="Sakkal Majalla"/>
                            <w:b/>
                            <w:bCs/>
                            <w:caps/>
                            <w:color w:val="17365D" w:themeColor="text2" w:themeShade="BF"/>
                            <w:sz w:val="32"/>
                            <w:szCs w:val="32"/>
                          </w:rPr>
                        </w:pPr>
                        <w:r w:rsidRPr="004D37F4">
                          <w:rPr>
                            <w:rFonts w:ascii="Sakkal Majalla" w:hAnsi="Sakkal Majalla" w:cs="Sakkal Majalla"/>
                            <w:b/>
                            <w:bCs/>
                            <w:caps/>
                            <w:color w:val="17365D" w:themeColor="text2" w:themeShade="BF"/>
                            <w:sz w:val="32"/>
                            <w:szCs w:val="32"/>
                            <w:rtl/>
                          </w:rPr>
                          <w:t>الملخص</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29"/>
    <w:rsid w:val="000842D9"/>
    <w:rsid w:val="002E125C"/>
    <w:rsid w:val="0030158F"/>
    <w:rsid w:val="003C265C"/>
    <w:rsid w:val="004D37F4"/>
    <w:rsid w:val="0058016D"/>
    <w:rsid w:val="006459DB"/>
    <w:rsid w:val="008C4C1B"/>
    <w:rsid w:val="00950B03"/>
    <w:rsid w:val="009B320E"/>
    <w:rsid w:val="00A56EF7"/>
    <w:rsid w:val="00B03CEE"/>
    <w:rsid w:val="00D17B27"/>
    <w:rsid w:val="00E75602"/>
    <w:rsid w:val="00F96E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D4D9E"/>
  <w15:chartTrackingRefBased/>
  <w15:docId w15:val="{B5F32196-08FE-4FF1-AEE1-A0875A56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E2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96E2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6E2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96E2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96E2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96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E2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96E2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6E2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96E2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96E2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96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E29"/>
    <w:rPr>
      <w:rFonts w:eastAsiaTheme="majorEastAsia" w:cstheme="majorBidi"/>
      <w:color w:val="272727" w:themeColor="text1" w:themeTint="D8"/>
    </w:rPr>
  </w:style>
  <w:style w:type="paragraph" w:styleId="Title">
    <w:name w:val="Title"/>
    <w:basedOn w:val="Normal"/>
    <w:next w:val="Normal"/>
    <w:link w:val="TitleChar"/>
    <w:uiPriority w:val="10"/>
    <w:qFormat/>
    <w:rsid w:val="00F96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E29"/>
    <w:pPr>
      <w:spacing w:before="160"/>
      <w:jc w:val="center"/>
    </w:pPr>
    <w:rPr>
      <w:i/>
      <w:iCs/>
      <w:color w:val="404040" w:themeColor="text1" w:themeTint="BF"/>
    </w:rPr>
  </w:style>
  <w:style w:type="character" w:customStyle="1" w:styleId="QuoteChar">
    <w:name w:val="Quote Char"/>
    <w:basedOn w:val="DefaultParagraphFont"/>
    <w:link w:val="Quote"/>
    <w:uiPriority w:val="29"/>
    <w:rsid w:val="00F96E29"/>
    <w:rPr>
      <w:i/>
      <w:iCs/>
      <w:color w:val="404040" w:themeColor="text1" w:themeTint="BF"/>
    </w:rPr>
  </w:style>
  <w:style w:type="paragraph" w:styleId="ListParagraph">
    <w:name w:val="List Paragraph"/>
    <w:basedOn w:val="Normal"/>
    <w:uiPriority w:val="34"/>
    <w:qFormat/>
    <w:rsid w:val="00F96E29"/>
    <w:pPr>
      <w:ind w:left="720"/>
      <w:contextualSpacing/>
    </w:pPr>
  </w:style>
  <w:style w:type="character" w:styleId="IntenseEmphasis">
    <w:name w:val="Intense Emphasis"/>
    <w:basedOn w:val="DefaultParagraphFont"/>
    <w:uiPriority w:val="21"/>
    <w:qFormat/>
    <w:rsid w:val="00F96E29"/>
    <w:rPr>
      <w:i/>
      <w:iCs/>
      <w:color w:val="365F91" w:themeColor="accent1" w:themeShade="BF"/>
    </w:rPr>
  </w:style>
  <w:style w:type="paragraph" w:styleId="IntenseQuote">
    <w:name w:val="Intense Quote"/>
    <w:basedOn w:val="Normal"/>
    <w:next w:val="Normal"/>
    <w:link w:val="IntenseQuoteChar"/>
    <w:uiPriority w:val="30"/>
    <w:qFormat/>
    <w:rsid w:val="00F96E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96E29"/>
    <w:rPr>
      <w:i/>
      <w:iCs/>
      <w:color w:val="365F91" w:themeColor="accent1" w:themeShade="BF"/>
    </w:rPr>
  </w:style>
  <w:style w:type="character" w:styleId="IntenseReference">
    <w:name w:val="Intense Reference"/>
    <w:basedOn w:val="DefaultParagraphFont"/>
    <w:uiPriority w:val="32"/>
    <w:qFormat/>
    <w:rsid w:val="00F96E29"/>
    <w:rPr>
      <w:b/>
      <w:bCs/>
      <w:smallCaps/>
      <w:color w:val="365F91" w:themeColor="accent1" w:themeShade="BF"/>
      <w:spacing w:val="5"/>
    </w:rPr>
  </w:style>
  <w:style w:type="paragraph" w:styleId="Header">
    <w:name w:val="header"/>
    <w:basedOn w:val="Normal"/>
    <w:link w:val="HeaderChar"/>
    <w:uiPriority w:val="99"/>
    <w:unhideWhenUsed/>
    <w:rsid w:val="00F96E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6E29"/>
  </w:style>
  <w:style w:type="paragraph" w:styleId="Footer">
    <w:name w:val="footer"/>
    <w:basedOn w:val="Normal"/>
    <w:link w:val="FooterChar"/>
    <w:uiPriority w:val="99"/>
    <w:unhideWhenUsed/>
    <w:rsid w:val="00F96E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الملخص</dc:title>
  <dc:subject/>
  <dc:creator>×Ouadhah khaoula</dc:creator>
  <cp:keywords/>
  <dc:description/>
  <cp:lastModifiedBy>×Ouadhah khaoula</cp:lastModifiedBy>
  <cp:revision>2</cp:revision>
  <dcterms:created xsi:type="dcterms:W3CDTF">2025-07-14T16:36:00Z</dcterms:created>
  <dcterms:modified xsi:type="dcterms:W3CDTF">2025-07-14T16:36:00Z</dcterms:modified>
</cp:coreProperties>
</file>