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1D9E" w14:textId="77777777" w:rsidR="003E09EA" w:rsidRDefault="003E09EA" w:rsidP="003E09EA">
      <w:pPr>
        <w:bidi/>
        <w:rPr>
          <w:rFonts w:ascii="Sakkal Majalla" w:hAnsi="Sakkal Majalla" w:cs="Sakkal Majalla"/>
          <w:sz w:val="32"/>
          <w:szCs w:val="32"/>
          <w:rtl/>
        </w:rPr>
      </w:pPr>
      <w:r w:rsidRPr="003066EF">
        <w:rPr>
          <w:rFonts w:ascii="Simplified Arabic" w:hAnsi="Simplified Arabic" w:cs="Simplified Arabic"/>
          <w:b/>
          <w:bCs/>
          <w:sz w:val="34"/>
          <w:szCs w:val="34"/>
          <w:rtl/>
        </w:rPr>
        <w:t>الملخص</w:t>
      </w:r>
      <w:r w:rsidRPr="00996671">
        <w:rPr>
          <w:rFonts w:ascii="Sakkal Majalla" w:hAnsi="Sakkal Majalla" w:cs="Sakkal Majalla"/>
          <w:b/>
          <w:bCs/>
          <w:sz w:val="32"/>
          <w:szCs w:val="32"/>
        </w:rPr>
        <w:t>:</w:t>
      </w:r>
    </w:p>
    <w:p w14:paraId="3B571928" w14:textId="77777777" w:rsidR="003E09EA" w:rsidRPr="00996671" w:rsidRDefault="003E09EA" w:rsidP="003E09EA">
      <w:pPr>
        <w:bidi/>
        <w:jc w:val="both"/>
        <w:rPr>
          <w:rFonts w:ascii="Sakkal Majalla" w:hAnsi="Sakkal Majalla" w:cs="Sakkal Majalla"/>
          <w:b/>
          <w:bCs/>
          <w:sz w:val="32"/>
          <w:szCs w:val="32"/>
        </w:rPr>
      </w:pPr>
      <w:r w:rsidRPr="00996671">
        <w:rPr>
          <w:rFonts w:ascii="Sakkal Majalla" w:hAnsi="Sakkal Majalla" w:cs="Sakkal Majalla"/>
          <w:b/>
          <w:bCs/>
          <w:sz w:val="32"/>
          <w:szCs w:val="32"/>
          <w:rtl/>
        </w:rPr>
        <w:t xml:space="preserve">تسعى هذه الدراسة إلى تسليط الضوء على دور الابتكار في المنتجات والخدمات المصرفية في تعزيز الشمول المالي، من خلال مقارنة تجربة كل من بنك الراجحي في المملكة العربية السعودية وبنك الجزائر الخارجي </w:t>
      </w:r>
      <w:r w:rsidRPr="00996671">
        <w:rPr>
          <w:rFonts w:ascii="Sakkal Majalla" w:hAnsi="Sakkal Majalla" w:cs="Sakkal Majalla"/>
          <w:b/>
          <w:bCs/>
          <w:sz w:val="32"/>
          <w:szCs w:val="32"/>
        </w:rPr>
        <w:t>BEA</w:t>
      </w:r>
      <w:r w:rsidRPr="00996671">
        <w:rPr>
          <w:rFonts w:ascii="Sakkal Majalla" w:hAnsi="Sakkal Majalla" w:cs="Sakkal Majalla"/>
          <w:b/>
          <w:bCs/>
          <w:sz w:val="32"/>
          <w:szCs w:val="32"/>
          <w:rtl/>
        </w:rPr>
        <w:t xml:space="preserve"> في الجزائر. وتكمن أهمية هذا البحث في تحليل مدى فعالية الأدوات المصرفية الحديثة، مثل الخدمات البنكية الرقمية، والمحافظ الإلكترونية، والتمويل المصغر، في تسهيل وصول مختلف فئات المجتمع إلى الخدمات المالية. أظهرت النتائج أن بنك الراجحي استطاع بفضل استراتيجيته الرقمية المتقدمة ومواكبته لرؤية السعودية 2030 أن يحقق تقدماً ملحوظاً في مجال الشمول المالي، في حين أن بنك </w:t>
      </w:r>
      <w:r w:rsidRPr="00996671">
        <w:rPr>
          <w:rFonts w:ascii="Sakkal Majalla" w:hAnsi="Sakkal Majalla" w:cs="Sakkal Majalla"/>
          <w:b/>
          <w:bCs/>
          <w:sz w:val="32"/>
          <w:szCs w:val="32"/>
        </w:rPr>
        <w:t>BEA</w:t>
      </w:r>
      <w:r w:rsidRPr="00996671">
        <w:rPr>
          <w:rFonts w:ascii="Sakkal Majalla" w:hAnsi="Sakkal Majalla" w:cs="Sakkal Majalla"/>
          <w:b/>
          <w:bCs/>
          <w:sz w:val="32"/>
          <w:szCs w:val="32"/>
          <w:rtl/>
        </w:rPr>
        <w:t>، رغم سعيه للتحول الرقمي، لا يزال يواجه تحديات مرتبطة بالبنية التحتية والتثقيف المالي. وعليه، توصي الدراسة بضرورة تعزيز البيئة التنظيمية وتوسيع نطاق الابتكار البنكي لتحقيق شمول مالي فعال ومستدام في الجزائر.</w:t>
      </w:r>
    </w:p>
    <w:p w14:paraId="176CD672" w14:textId="77777777" w:rsidR="003E09EA" w:rsidRPr="00996671" w:rsidRDefault="003E09EA" w:rsidP="003E09EA">
      <w:pPr>
        <w:bidi/>
        <w:jc w:val="both"/>
        <w:rPr>
          <w:rFonts w:ascii="Sakkal Majalla" w:hAnsi="Sakkal Majalla" w:cs="Sakkal Majalla"/>
          <w:b/>
          <w:bCs/>
          <w:sz w:val="32"/>
          <w:szCs w:val="32"/>
          <w:rtl/>
        </w:rPr>
      </w:pPr>
      <w:r>
        <w:rPr>
          <w:rFonts w:ascii="Sakkal Majalla" w:hAnsi="Sakkal Majalla" w:cs="Sakkal Majalla" w:hint="cs"/>
          <w:b/>
          <w:bCs/>
          <w:sz w:val="32"/>
          <w:szCs w:val="32"/>
          <w:rtl/>
        </w:rPr>
        <w:t>ال</w:t>
      </w:r>
      <w:r w:rsidRPr="00996671">
        <w:rPr>
          <w:rFonts w:ascii="Sakkal Majalla" w:hAnsi="Sakkal Majalla" w:cs="Sakkal Majalla"/>
          <w:b/>
          <w:bCs/>
          <w:sz w:val="32"/>
          <w:szCs w:val="32"/>
          <w:rtl/>
        </w:rPr>
        <w:t xml:space="preserve">كلمات </w:t>
      </w:r>
      <w:r>
        <w:rPr>
          <w:rFonts w:ascii="Sakkal Majalla" w:hAnsi="Sakkal Majalla" w:cs="Sakkal Majalla" w:hint="cs"/>
          <w:b/>
          <w:bCs/>
          <w:sz w:val="32"/>
          <w:szCs w:val="32"/>
          <w:rtl/>
        </w:rPr>
        <w:t>ال</w:t>
      </w:r>
      <w:r w:rsidRPr="00996671">
        <w:rPr>
          <w:rFonts w:ascii="Sakkal Majalla" w:hAnsi="Sakkal Majalla" w:cs="Sakkal Majalla"/>
          <w:b/>
          <w:bCs/>
          <w:sz w:val="32"/>
          <w:szCs w:val="32"/>
          <w:rtl/>
        </w:rPr>
        <w:t>مفتاحية: الابتكار المصرفي؛ الشمول المالي؛</w:t>
      </w:r>
      <w:r>
        <w:rPr>
          <w:rFonts w:ascii="Sakkal Majalla" w:hAnsi="Sakkal Majalla" w:cs="Sakkal Majalla" w:hint="cs"/>
          <w:b/>
          <w:bCs/>
          <w:sz w:val="32"/>
          <w:szCs w:val="32"/>
          <w:rtl/>
        </w:rPr>
        <w:t xml:space="preserve"> </w:t>
      </w:r>
      <w:r w:rsidRPr="00996671">
        <w:rPr>
          <w:rFonts w:ascii="Sakkal Majalla" w:hAnsi="Sakkal Majalla" w:cs="Sakkal Majalla"/>
          <w:b/>
          <w:bCs/>
          <w:sz w:val="32"/>
          <w:szCs w:val="32"/>
          <w:rtl/>
        </w:rPr>
        <w:t>الخدمات البنكية الرقمية؛</w:t>
      </w:r>
      <w:r>
        <w:rPr>
          <w:rFonts w:ascii="Sakkal Majalla" w:hAnsi="Sakkal Majalla" w:cs="Sakkal Majalla" w:hint="cs"/>
          <w:b/>
          <w:bCs/>
          <w:sz w:val="32"/>
          <w:szCs w:val="32"/>
          <w:rtl/>
        </w:rPr>
        <w:t xml:space="preserve"> </w:t>
      </w:r>
      <w:r w:rsidRPr="00996671">
        <w:rPr>
          <w:rFonts w:ascii="Sakkal Majalla" w:hAnsi="Sakkal Majalla" w:cs="Sakkal Majalla"/>
          <w:b/>
          <w:bCs/>
          <w:sz w:val="32"/>
          <w:szCs w:val="32"/>
          <w:rtl/>
        </w:rPr>
        <w:t>بنك الراجحي؛</w:t>
      </w:r>
      <w:r>
        <w:rPr>
          <w:rFonts w:ascii="Sakkal Majalla" w:hAnsi="Sakkal Majalla" w:cs="Sakkal Majalla" w:hint="cs"/>
          <w:b/>
          <w:bCs/>
          <w:sz w:val="32"/>
          <w:szCs w:val="32"/>
          <w:rtl/>
        </w:rPr>
        <w:t xml:space="preserve"> </w:t>
      </w:r>
      <w:r w:rsidRPr="00996671">
        <w:rPr>
          <w:rFonts w:ascii="Sakkal Majalla" w:hAnsi="Sakkal Majalla" w:cs="Sakkal Majalla"/>
          <w:b/>
          <w:bCs/>
          <w:sz w:val="32"/>
          <w:szCs w:val="32"/>
          <w:rtl/>
        </w:rPr>
        <w:t>بنك الجزائر الخارجي (</w:t>
      </w:r>
      <w:r w:rsidRPr="00996671">
        <w:rPr>
          <w:rFonts w:ascii="Sakkal Majalla" w:hAnsi="Sakkal Majalla" w:cs="Sakkal Majalla"/>
          <w:b/>
          <w:bCs/>
          <w:sz w:val="32"/>
          <w:szCs w:val="32"/>
        </w:rPr>
        <w:t>BEA</w:t>
      </w:r>
      <w:r w:rsidRPr="00996671">
        <w:rPr>
          <w:rFonts w:ascii="Sakkal Majalla" w:hAnsi="Sakkal Majalla" w:cs="Sakkal Majalla"/>
          <w:b/>
          <w:bCs/>
          <w:sz w:val="32"/>
          <w:szCs w:val="32"/>
          <w:rtl/>
        </w:rPr>
        <w:t>)</w:t>
      </w:r>
    </w:p>
    <w:p w14:paraId="456B8EC2" w14:textId="77777777" w:rsidR="003E09EA" w:rsidRPr="00996671" w:rsidRDefault="003E09EA" w:rsidP="003E09EA">
      <w:pPr>
        <w:bidi/>
        <w:jc w:val="right"/>
        <w:rPr>
          <w:sz w:val="24"/>
          <w:szCs w:val="24"/>
          <w:rtl/>
          <w:lang w:val="en-US"/>
        </w:rPr>
      </w:pPr>
      <w:r w:rsidRPr="00996671">
        <w:rPr>
          <w:rFonts w:asciiTheme="majorBidi" w:hAnsiTheme="majorBidi" w:cstheme="majorBidi"/>
          <w:b/>
          <w:bCs/>
          <w:sz w:val="28"/>
          <w:szCs w:val="28"/>
          <w:lang w:val="en-US"/>
        </w:rPr>
        <w:t>Résumé:</w:t>
      </w:r>
      <w:r w:rsidRPr="00996671">
        <w:rPr>
          <w:lang w:val="en-US"/>
        </w:rPr>
        <w:t xml:space="preserve"> </w:t>
      </w:r>
    </w:p>
    <w:p w14:paraId="4A507CEC" w14:textId="77777777" w:rsidR="003E09EA" w:rsidRPr="00996671" w:rsidRDefault="003E09EA" w:rsidP="003E09EA">
      <w:pPr>
        <w:ind w:right="142"/>
        <w:jc w:val="both"/>
        <w:rPr>
          <w:rFonts w:asciiTheme="majorBidi" w:hAnsiTheme="majorBidi" w:cstheme="majorBidi"/>
          <w:b/>
          <w:bCs/>
          <w:sz w:val="28"/>
          <w:szCs w:val="28"/>
          <w:lang w:val="en-US"/>
        </w:rPr>
      </w:pPr>
      <w:r w:rsidRPr="00996671">
        <w:rPr>
          <w:rFonts w:asciiTheme="majorBidi" w:hAnsiTheme="majorBidi" w:cstheme="majorBidi"/>
          <w:sz w:val="24"/>
          <w:szCs w:val="24"/>
          <w:lang w:val="en-US"/>
        </w:rPr>
        <w:t xml:space="preserve">This study aims to highlight the role of innovation in banking products and services in enhancing financial inclusion, through a comparative analysis of the experiences of Al Rajhi Bank in the Kingdom of Saudi Arabia and the Banque </w:t>
      </w:r>
      <w:proofErr w:type="spellStart"/>
      <w:r w:rsidRPr="00996671">
        <w:rPr>
          <w:rFonts w:asciiTheme="majorBidi" w:hAnsiTheme="majorBidi" w:cstheme="majorBidi"/>
          <w:sz w:val="24"/>
          <w:szCs w:val="24"/>
          <w:lang w:val="en-US"/>
        </w:rPr>
        <w:t>Extérieure</w:t>
      </w:r>
      <w:proofErr w:type="spellEnd"/>
      <w:r w:rsidRPr="00996671">
        <w:rPr>
          <w:rFonts w:asciiTheme="majorBidi" w:hAnsiTheme="majorBidi" w:cstheme="majorBidi"/>
          <w:sz w:val="24"/>
          <w:szCs w:val="24"/>
          <w:lang w:val="en-US"/>
        </w:rPr>
        <w:t xml:space="preserve"> </w:t>
      </w:r>
      <w:proofErr w:type="spellStart"/>
      <w:r w:rsidRPr="00996671">
        <w:rPr>
          <w:rFonts w:asciiTheme="majorBidi" w:hAnsiTheme="majorBidi" w:cstheme="majorBidi"/>
          <w:sz w:val="24"/>
          <w:szCs w:val="24"/>
          <w:lang w:val="en-US"/>
        </w:rPr>
        <w:t>d’Algérie</w:t>
      </w:r>
      <w:proofErr w:type="spellEnd"/>
      <w:r w:rsidRPr="00996671">
        <w:rPr>
          <w:rFonts w:asciiTheme="majorBidi" w:hAnsiTheme="majorBidi" w:cstheme="majorBidi"/>
          <w:sz w:val="24"/>
          <w:szCs w:val="24"/>
          <w:lang w:val="en-US"/>
        </w:rPr>
        <w:t xml:space="preserve"> (BEA) in Algeria. The importance of this research lies in analyzing the effectiveness of modern banking tools, such as digital banking services, electronic wallets, and microfinance, in facilitating access to financial services for various segments of society. The results showed that Al Rajhi Bank, thanks to its advanced digital strategy and alignment with Saudi Vision 2030, has made significant progress in the field of financial inclusion, whereas BEA, despite its efforts towards digital transformation, still faces challenges related to infrastructure and financial literacy. Accordingly, the study recommends the need to strengthen the regulatory environment and expand the scope of banking innovation to achieve effective and sustainable financial inclusion in Algeria.</w:t>
      </w:r>
      <w:r w:rsidRPr="00996671">
        <w:rPr>
          <w:rFonts w:asciiTheme="majorBidi" w:hAnsiTheme="majorBidi" w:cstheme="majorBidi"/>
          <w:b/>
          <w:bCs/>
          <w:sz w:val="28"/>
          <w:szCs w:val="28"/>
          <w:lang w:val="en-US"/>
        </w:rPr>
        <w:tab/>
      </w:r>
    </w:p>
    <w:p w14:paraId="0CD5386A" w14:textId="77777777" w:rsidR="003E09EA" w:rsidRPr="00996671" w:rsidRDefault="003E09EA" w:rsidP="003E09EA">
      <w:pPr>
        <w:jc w:val="both"/>
        <w:rPr>
          <w:rFonts w:ascii="Simplified Arabic" w:hAnsi="Simplified Arabic" w:cs="Simplified Arabic"/>
          <w:sz w:val="32"/>
          <w:szCs w:val="32"/>
          <w:lang w:val="en-US"/>
        </w:rPr>
      </w:pPr>
    </w:p>
    <w:p w14:paraId="1DCB4B41" w14:textId="77777777" w:rsidR="002132CE" w:rsidRPr="003E09EA" w:rsidRDefault="002132CE">
      <w:pPr>
        <w:rPr>
          <w:lang w:val="en-US"/>
        </w:rPr>
      </w:pPr>
    </w:p>
    <w:sectPr w:rsidR="002132CE" w:rsidRPr="003E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E5"/>
    <w:rsid w:val="001238E5"/>
    <w:rsid w:val="002132CE"/>
    <w:rsid w:val="003E09EA"/>
    <w:rsid w:val="006144FE"/>
    <w:rsid w:val="009525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BA7CB-E0E2-4DE1-BEBD-DA05A226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EA"/>
    <w:pPr>
      <w:spacing w:after="200" w:line="276" w:lineRule="auto"/>
    </w:pPr>
    <w:rPr>
      <w:kern w:val="0"/>
      <w14:ligatures w14:val="none"/>
    </w:rPr>
  </w:style>
  <w:style w:type="paragraph" w:styleId="Titre1">
    <w:name w:val="heading 1"/>
    <w:basedOn w:val="Normal"/>
    <w:next w:val="Normal"/>
    <w:link w:val="Titre1Car"/>
    <w:uiPriority w:val="9"/>
    <w:qFormat/>
    <w:rsid w:val="001238E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1238E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1238E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1238E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1238E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1238E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1238E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1238E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1238E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38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238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238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238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238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238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38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38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38E5"/>
    <w:rPr>
      <w:rFonts w:eastAsiaTheme="majorEastAsia" w:cstheme="majorBidi"/>
      <w:color w:val="272727" w:themeColor="text1" w:themeTint="D8"/>
    </w:rPr>
  </w:style>
  <w:style w:type="paragraph" w:styleId="Titre">
    <w:name w:val="Title"/>
    <w:basedOn w:val="Normal"/>
    <w:next w:val="Normal"/>
    <w:link w:val="TitreCar"/>
    <w:uiPriority w:val="10"/>
    <w:qFormat/>
    <w:rsid w:val="001238E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1238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38E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1238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38E5"/>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1238E5"/>
    <w:rPr>
      <w:i/>
      <w:iCs/>
      <w:color w:val="404040" w:themeColor="text1" w:themeTint="BF"/>
    </w:rPr>
  </w:style>
  <w:style w:type="paragraph" w:styleId="Paragraphedeliste">
    <w:name w:val="List Paragraph"/>
    <w:basedOn w:val="Normal"/>
    <w:uiPriority w:val="34"/>
    <w:qFormat/>
    <w:rsid w:val="001238E5"/>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1238E5"/>
    <w:rPr>
      <w:i/>
      <w:iCs/>
      <w:color w:val="2F5496" w:themeColor="accent1" w:themeShade="BF"/>
    </w:rPr>
  </w:style>
  <w:style w:type="paragraph" w:styleId="Citationintense">
    <w:name w:val="Intense Quote"/>
    <w:basedOn w:val="Normal"/>
    <w:next w:val="Normal"/>
    <w:link w:val="CitationintenseCar"/>
    <w:uiPriority w:val="30"/>
    <w:qFormat/>
    <w:rsid w:val="001238E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1238E5"/>
    <w:rPr>
      <w:i/>
      <w:iCs/>
      <w:color w:val="2F5496" w:themeColor="accent1" w:themeShade="BF"/>
    </w:rPr>
  </w:style>
  <w:style w:type="character" w:styleId="Rfrenceintense">
    <w:name w:val="Intense Reference"/>
    <w:basedOn w:val="Policepardfaut"/>
    <w:uiPriority w:val="32"/>
    <w:qFormat/>
    <w:rsid w:val="00123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2025-07-14T13:23:00Z</dcterms:created>
  <dcterms:modified xsi:type="dcterms:W3CDTF">2025-07-14T13:24:00Z</dcterms:modified>
</cp:coreProperties>
</file>