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712FB">
      <w:pPr>
        <w:spacing w:after="0" w:line="360" w:lineRule="auto"/>
        <w:ind w:left="-220" w:leftChars="-100" w:firstLine="0" w:firstLineChars="0"/>
        <w:jc w:val="center"/>
        <w:rPr>
          <w:rFonts w:asciiTheme="majorBidi" w:hAnsiTheme="majorBidi" w:cstheme="majorBidi"/>
          <w:b/>
          <w:bCs/>
          <w:sz w:val="28"/>
          <w:szCs w:val="28"/>
          <w:lang w:val="fr-FR"/>
        </w:rPr>
      </w:pPr>
      <w:r>
        <w:rPr>
          <w:rFonts w:asciiTheme="majorBidi" w:hAnsiTheme="majorBidi" w:cstheme="majorBidi"/>
          <w:b/>
          <w:bCs/>
          <w:sz w:val="28"/>
          <w:szCs w:val="28"/>
          <w:lang w:val="fr-FR"/>
        </w:rPr>
        <w:t>REPUBLIQUE ALGERIENNE DEMOCRATIQUE ET POPULAIRE</w:t>
      </w:r>
      <w:r>
        <w:rPr>
          <w:rFonts w:asciiTheme="majorBidi" w:hAnsiTheme="majorBidi" w:cstheme="majorBidi"/>
          <w:b/>
          <w:bCs/>
          <w:sz w:val="28"/>
          <w:szCs w:val="28"/>
          <w:lang w:val="fr-FR"/>
        </w:rPr>
        <w:br w:type="textWrapping"/>
      </w:r>
      <w:r>
        <w:rPr>
          <w:rFonts w:asciiTheme="majorBidi" w:hAnsiTheme="majorBidi" w:cstheme="majorBidi"/>
          <w:b/>
          <w:bCs/>
          <w:sz w:val="28"/>
          <w:szCs w:val="28"/>
          <w:lang w:val="fr-FR"/>
        </w:rPr>
        <w:t>Ministère de l’enseignement supérieur  de la recherche scientifique</w:t>
      </w:r>
      <w:r>
        <w:rPr>
          <w:rFonts w:asciiTheme="majorBidi" w:hAnsiTheme="majorBidi" w:cstheme="majorBidi"/>
          <w:b/>
          <w:bCs/>
          <w:sz w:val="36"/>
          <w:szCs w:val="36"/>
          <w:lang w:val="fr-FR"/>
        </w:rPr>
        <w:t xml:space="preserve"> </w:t>
      </w:r>
      <w:r>
        <w:rPr>
          <w:rFonts w:asciiTheme="majorBidi" w:hAnsiTheme="majorBidi" w:cstheme="majorBidi"/>
          <w:b/>
          <w:bCs/>
          <w:sz w:val="36"/>
          <w:szCs w:val="36"/>
          <w:lang w:val="fr-FR"/>
        </w:rPr>
        <w:br w:type="textWrapping"/>
      </w:r>
      <w:r>
        <w:rPr>
          <w:rFonts w:asciiTheme="majorBidi" w:hAnsiTheme="majorBidi" w:cstheme="majorBidi"/>
          <w:b/>
          <w:bCs/>
          <w:sz w:val="28"/>
          <w:szCs w:val="28"/>
          <w:lang w:val="fr-FR"/>
        </w:rPr>
        <w:t>Université Ferhat Abbas –Sétif- 1</w:t>
      </w:r>
    </w:p>
    <w:p w14:paraId="03BB5A6D">
      <w:pPr>
        <w:spacing w:line="360" w:lineRule="auto"/>
        <w:ind w:left="-220" w:leftChars="-100" w:firstLine="0" w:firstLineChars="0"/>
        <w:jc w:val="center"/>
        <w:rPr>
          <w:rFonts w:asciiTheme="majorBidi" w:hAnsiTheme="majorBidi" w:cstheme="majorBidi"/>
          <w:b/>
          <w:bCs/>
          <w:sz w:val="28"/>
          <w:szCs w:val="28"/>
          <w:lang w:val="fr-FR"/>
        </w:rPr>
      </w:pPr>
      <w:r>
        <w:rPr>
          <w:rFonts w:asciiTheme="majorBidi" w:hAnsiTheme="majorBidi" w:cstheme="majorBidi"/>
          <w:b/>
          <w:bCs/>
          <w:sz w:val="28"/>
          <w:szCs w:val="28"/>
          <w:lang w:val="fr-FR" w:eastAsia="fr-FR"/>
        </w:rPr>
        <w:drawing>
          <wp:anchor distT="0" distB="0" distL="114300" distR="114300" simplePos="0" relativeHeight="251659264" behindDoc="1" locked="0" layoutInCell="1" allowOverlap="1">
            <wp:simplePos x="0" y="0"/>
            <wp:positionH relativeFrom="column">
              <wp:posOffset>2155190</wp:posOffset>
            </wp:positionH>
            <wp:positionV relativeFrom="paragraph">
              <wp:posOffset>345440</wp:posOffset>
            </wp:positionV>
            <wp:extent cx="1529715" cy="956945"/>
            <wp:effectExtent l="0" t="0" r="13335" b="14605"/>
            <wp:wrapNone/>
            <wp:docPr id="12159385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38596"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29715" cy="956945"/>
                    </a:xfrm>
                    <a:prstGeom prst="rect">
                      <a:avLst/>
                    </a:prstGeom>
                    <a:noFill/>
                    <a:ln>
                      <a:noFill/>
                    </a:ln>
                  </pic:spPr>
                </pic:pic>
              </a:graphicData>
            </a:graphic>
          </wp:anchor>
        </w:drawing>
      </w:r>
      <w:r>
        <w:rPr>
          <w:rFonts w:asciiTheme="majorBidi" w:hAnsiTheme="majorBidi" w:cstheme="majorBidi"/>
          <w:b/>
          <w:bCs/>
          <w:sz w:val="28"/>
          <w:szCs w:val="28"/>
          <w:lang w:val="fr-FR"/>
        </w:rPr>
        <w:t>Faculté de Science de la nature et de Vie</w:t>
      </w:r>
    </w:p>
    <w:p w14:paraId="02C9C3C5">
      <w:pPr>
        <w:tabs>
          <w:tab w:val="left" w:pos="220"/>
        </w:tabs>
        <w:spacing w:line="360" w:lineRule="auto"/>
        <w:ind w:left="-220" w:leftChars="-100" w:firstLine="0" w:firstLineChars="0"/>
        <w:jc w:val="center"/>
        <w:rPr>
          <w:rFonts w:asciiTheme="majorBidi" w:hAnsiTheme="majorBidi" w:cstheme="majorBidi"/>
          <w:b/>
          <w:bCs/>
          <w:sz w:val="28"/>
          <w:szCs w:val="28"/>
          <w:lang w:val="fr-FR"/>
        </w:rPr>
      </w:pPr>
    </w:p>
    <w:p w14:paraId="2EED6581">
      <w:pPr>
        <w:spacing w:line="360" w:lineRule="auto"/>
        <w:jc w:val="both"/>
        <w:rPr>
          <w:rFonts w:asciiTheme="majorBidi" w:hAnsiTheme="majorBidi" w:cstheme="majorBidi"/>
          <w:b/>
          <w:bCs/>
          <w:sz w:val="28"/>
          <w:szCs w:val="28"/>
          <w:lang w:val="fr-FR"/>
        </w:rPr>
      </w:pPr>
    </w:p>
    <w:p w14:paraId="371A1874">
      <w:pPr>
        <w:spacing w:line="360" w:lineRule="auto"/>
        <w:jc w:val="both"/>
        <w:rPr>
          <w:rFonts w:asciiTheme="majorBidi" w:hAnsiTheme="majorBidi" w:cstheme="majorBidi"/>
          <w:b/>
          <w:bCs/>
          <w:sz w:val="28"/>
          <w:szCs w:val="28"/>
          <w:lang w:val="fr-FR"/>
        </w:rPr>
      </w:pPr>
      <w:r>
        <w:rPr>
          <w:rFonts w:asciiTheme="majorBidi" w:hAnsiTheme="majorBidi" w:cstheme="majorBidi"/>
          <w:b/>
          <w:bCs/>
          <w:sz w:val="28"/>
          <w:szCs w:val="28"/>
          <w:lang w:val="fr-FR" w:eastAsia="fr-FR"/>
        </w:rPr>
        <mc:AlternateContent>
          <mc:Choice Requires="wps">
            <w:drawing>
              <wp:anchor distT="0" distB="0" distL="114300" distR="114300" simplePos="0" relativeHeight="251660288" behindDoc="0" locked="0" layoutInCell="1" allowOverlap="1">
                <wp:simplePos x="0" y="0"/>
                <wp:positionH relativeFrom="column">
                  <wp:posOffset>-301625</wp:posOffset>
                </wp:positionH>
                <wp:positionV relativeFrom="paragraph">
                  <wp:posOffset>131445</wp:posOffset>
                </wp:positionV>
                <wp:extent cx="6216650" cy="6350"/>
                <wp:effectExtent l="0" t="0" r="0" b="0"/>
                <wp:wrapNone/>
                <wp:docPr id="3" name="AutoShape 7"/>
                <wp:cNvGraphicFramePr/>
                <a:graphic xmlns:a="http://schemas.openxmlformats.org/drawingml/2006/main">
                  <a:graphicData uri="http://schemas.microsoft.com/office/word/2010/wordprocessingShape">
                    <wps:wsp>
                      <wps:cNvCnPr/>
                      <wps:spPr>
                        <a:xfrm>
                          <a:off x="0" y="0"/>
                          <a:ext cx="6216650" cy="635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margin-left:-23.75pt;margin-top:10.35pt;height:0.5pt;width:489.5pt;z-index:251660288;mso-width-relative:page;mso-height-relative:page;" filled="f" stroked="t" coordsize="21600,21600" o:gfxdata="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XgGVfVAAAACwEAAA8AAAAA&#10;AAAAAQAgAAAAIgAAAGRycy9kb3ducmV2LnhtbFBLAQIUABQAAAAIAIdO4kAIa9m33gEAAOQDAAAO&#10;AAAAAAAAAAEAIAAAACQBAABkcnMvZTJvRG9jLnhtbFBLBQYAAAAABgAGAFkBAAB0BQAAAAA=&#10;">
                <v:fill on="f" focussize="0,0"/>
                <v:stroke weight="1.5pt" color="#000000" joinstyle="round"/>
                <v:imagedata o:title=""/>
                <o:lock v:ext="edit" aspectratio="f"/>
              </v:shape>
            </w:pict>
          </mc:Fallback>
        </mc:AlternateContent>
      </w:r>
    </w:p>
    <w:p w14:paraId="457FFF73">
      <w:pPr>
        <w:spacing w:after="0" w:line="360" w:lineRule="auto"/>
        <w:jc w:val="center"/>
        <w:rPr>
          <w:rFonts w:asciiTheme="majorBidi" w:hAnsiTheme="majorBidi" w:cstheme="majorBidi"/>
          <w:b/>
          <w:bCs/>
          <w:sz w:val="36"/>
          <w:szCs w:val="36"/>
          <w:lang w:val="fr-FR"/>
        </w:rPr>
      </w:pPr>
      <w:r>
        <w:rPr>
          <w:rFonts w:asciiTheme="majorBidi" w:hAnsiTheme="majorBidi" w:cstheme="majorBidi"/>
          <w:b/>
          <w:bCs/>
          <w:sz w:val="28"/>
          <w:szCs w:val="28"/>
          <w:lang w:val="fr-FR"/>
        </w:rPr>
        <w:t>Département de biologie et physiologie animale</w:t>
      </w:r>
      <w:r>
        <w:rPr>
          <w:rFonts w:asciiTheme="majorBidi" w:hAnsiTheme="majorBidi" w:cstheme="majorBidi"/>
          <w:b/>
          <w:bCs/>
          <w:sz w:val="36"/>
          <w:szCs w:val="36"/>
          <w:lang w:val="fr-FR"/>
        </w:rPr>
        <w:t xml:space="preserve"> </w:t>
      </w:r>
    </w:p>
    <w:p w14:paraId="5A77B791">
      <w:pPr>
        <w:spacing w:after="0" w:line="360" w:lineRule="auto"/>
        <w:jc w:val="center"/>
        <w:rPr>
          <w:rFonts w:asciiTheme="majorBidi" w:hAnsiTheme="majorBidi" w:cstheme="majorBidi"/>
          <w:sz w:val="24"/>
          <w:szCs w:val="24"/>
          <w:lang w:val="fr-FR"/>
        </w:rPr>
      </w:pPr>
      <w:r>
        <w:rPr>
          <w:rFonts w:asciiTheme="majorBidi" w:hAnsiTheme="majorBidi" w:cstheme="majorBidi"/>
          <w:b/>
          <w:bCs/>
          <w:sz w:val="28"/>
          <w:szCs w:val="28"/>
          <w:lang w:val="fr-FR"/>
        </w:rPr>
        <w:t>MEMOIRE</w:t>
      </w:r>
      <w:r>
        <w:rPr>
          <w:rFonts w:asciiTheme="majorBidi" w:hAnsiTheme="majorBidi" w:cstheme="majorBidi"/>
          <w:b/>
          <w:bCs/>
          <w:sz w:val="36"/>
          <w:szCs w:val="36"/>
          <w:lang w:val="fr-FR"/>
        </w:rPr>
        <w:br w:type="textWrapping"/>
      </w:r>
      <w:r>
        <w:rPr>
          <w:rFonts w:asciiTheme="majorBidi" w:hAnsiTheme="majorBidi" w:cstheme="majorBidi"/>
          <w:b/>
          <w:bCs/>
          <w:sz w:val="24"/>
          <w:szCs w:val="24"/>
          <w:lang w:val="fr-FR"/>
        </w:rPr>
        <w:t xml:space="preserve">présenté par </w:t>
      </w:r>
      <w:r>
        <w:rPr>
          <w:rFonts w:asciiTheme="majorBidi" w:hAnsiTheme="majorBidi" w:cstheme="majorBidi"/>
          <w:b/>
          <w:bCs/>
          <w:sz w:val="24"/>
          <w:szCs w:val="24"/>
          <w:lang w:val="fr-FR"/>
        </w:rPr>
        <w:br w:type="textWrapping"/>
      </w:r>
      <w:r>
        <w:rPr>
          <w:rFonts w:asciiTheme="majorBidi" w:hAnsiTheme="majorBidi" w:cstheme="majorBidi"/>
          <w:sz w:val="24"/>
          <w:szCs w:val="24"/>
          <w:lang w:val="fr-FR"/>
        </w:rPr>
        <w:t xml:space="preserve">DRID LYDIA INES </w:t>
      </w:r>
      <w:r>
        <w:rPr>
          <w:rFonts w:asciiTheme="majorBidi" w:hAnsiTheme="majorBidi" w:cstheme="majorBidi"/>
          <w:sz w:val="24"/>
          <w:szCs w:val="24"/>
          <w:lang w:val="fr-FR"/>
        </w:rPr>
        <w:br w:type="textWrapping"/>
      </w:r>
      <w:r>
        <w:rPr>
          <w:rFonts w:asciiTheme="majorBidi" w:hAnsiTheme="majorBidi" w:cstheme="majorBidi"/>
          <w:sz w:val="24"/>
          <w:szCs w:val="24"/>
          <w:lang w:val="fr-FR"/>
        </w:rPr>
        <w:t>MERZOUGUI  SAWSEN BELKIS</w:t>
      </w:r>
      <w:r>
        <w:rPr>
          <w:rFonts w:asciiTheme="majorBidi" w:hAnsiTheme="majorBidi" w:cstheme="majorBidi"/>
          <w:sz w:val="24"/>
          <w:szCs w:val="24"/>
          <w:lang w:val="fr-FR"/>
        </w:rPr>
        <w:br w:type="textWrapping"/>
      </w:r>
      <w:r>
        <w:rPr>
          <w:rFonts w:asciiTheme="majorBidi" w:hAnsiTheme="majorBidi" w:cstheme="majorBidi"/>
          <w:sz w:val="24"/>
          <w:szCs w:val="24"/>
          <w:lang w:val="fr-FR"/>
        </w:rPr>
        <w:t>SAHNOUNE SELMA</w:t>
      </w:r>
    </w:p>
    <w:p w14:paraId="29B0582B">
      <w:pPr>
        <w:spacing w:after="0" w:line="360" w:lineRule="auto"/>
        <w:jc w:val="center"/>
        <w:rPr>
          <w:rFonts w:asciiTheme="majorBidi" w:hAnsiTheme="majorBidi" w:cstheme="majorBidi"/>
          <w:sz w:val="24"/>
          <w:szCs w:val="24"/>
          <w:lang w:val="fr-FR"/>
        </w:rPr>
      </w:pPr>
    </w:p>
    <w:p w14:paraId="3DCA18E2">
      <w:pPr>
        <w:spacing w:after="0" w:line="360" w:lineRule="auto"/>
        <w:jc w:val="center"/>
        <w:rPr>
          <w:rFonts w:asciiTheme="majorBidi" w:hAnsiTheme="majorBidi" w:cstheme="majorBidi"/>
          <w:b/>
          <w:bCs/>
          <w:sz w:val="36"/>
          <w:szCs w:val="36"/>
          <w:lang w:val="fr-FR"/>
        </w:rPr>
      </w:pPr>
      <w:r>
        <w:rPr>
          <w:rFonts w:asciiTheme="majorBidi" w:hAnsiTheme="majorBidi" w:cstheme="majorBidi"/>
          <w:sz w:val="24"/>
          <w:szCs w:val="24"/>
          <w:lang w:val="fr-FR"/>
        </w:rPr>
        <w:t>Pour l’obtention du diplôme de</w:t>
      </w:r>
      <w:r>
        <w:rPr>
          <w:rFonts w:asciiTheme="majorBidi" w:hAnsiTheme="majorBidi" w:cstheme="majorBidi"/>
          <w:b/>
          <w:bCs/>
          <w:sz w:val="24"/>
          <w:szCs w:val="24"/>
          <w:lang w:val="fr-FR"/>
        </w:rPr>
        <w:t xml:space="preserve"> </w:t>
      </w:r>
      <w:r>
        <w:rPr>
          <w:rFonts w:asciiTheme="majorBidi" w:hAnsiTheme="majorBidi" w:cstheme="majorBidi"/>
          <w:b/>
          <w:bCs/>
          <w:sz w:val="24"/>
          <w:szCs w:val="24"/>
          <w:lang w:val="fr-FR"/>
        </w:rPr>
        <w:br w:type="textWrapping"/>
      </w:r>
      <w:r>
        <w:rPr>
          <w:rFonts w:asciiTheme="majorBidi" w:hAnsiTheme="majorBidi" w:cstheme="majorBidi"/>
          <w:b/>
          <w:bCs/>
          <w:sz w:val="28"/>
          <w:szCs w:val="28"/>
          <w:lang w:val="fr-FR"/>
        </w:rPr>
        <w:t xml:space="preserve">MASTER </w:t>
      </w:r>
      <w:r>
        <w:rPr>
          <w:rFonts w:asciiTheme="majorBidi" w:hAnsiTheme="majorBidi" w:cstheme="majorBidi"/>
          <w:b/>
          <w:bCs/>
          <w:sz w:val="36"/>
          <w:szCs w:val="36"/>
          <w:lang w:val="fr-FR"/>
        </w:rPr>
        <w:t xml:space="preserve"> </w:t>
      </w:r>
    </w:p>
    <w:p w14:paraId="0D295C76">
      <w:pPr>
        <w:spacing w:after="0" w:line="36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 xml:space="preserve">Filière : </w:t>
      </w:r>
      <w:r>
        <w:rPr>
          <w:rFonts w:asciiTheme="majorBidi" w:hAnsiTheme="majorBidi" w:cstheme="majorBidi"/>
          <w:sz w:val="28"/>
          <w:szCs w:val="28"/>
          <w:lang w:val="fr-FR"/>
        </w:rPr>
        <w:t>Science Biologique</w:t>
      </w:r>
    </w:p>
    <w:p w14:paraId="35241108">
      <w:pPr>
        <w:spacing w:line="360" w:lineRule="auto"/>
        <w:ind w:left="-220" w:leftChars="-100" w:firstLine="0" w:firstLineChars="0"/>
        <w:jc w:val="center"/>
        <w:rPr>
          <w:rFonts w:asciiTheme="majorBidi" w:hAnsiTheme="majorBidi" w:cstheme="majorBidi"/>
          <w:b/>
          <w:bCs/>
          <w:sz w:val="36"/>
          <w:szCs w:val="36"/>
          <w:lang w:val="fr-FR"/>
        </w:rPr>
      </w:pPr>
      <w:r>
        <w:rPr>
          <w:sz w:val="28"/>
        </w:rPr>
        <mc:AlternateContent>
          <mc:Choice Requires="wps">
            <w:drawing>
              <wp:anchor distT="0" distB="0" distL="114300" distR="114300" simplePos="0" relativeHeight="251662336" behindDoc="0" locked="0" layoutInCell="1" allowOverlap="1">
                <wp:simplePos x="0" y="0"/>
                <wp:positionH relativeFrom="column">
                  <wp:posOffset>-384175</wp:posOffset>
                </wp:positionH>
                <wp:positionV relativeFrom="paragraph">
                  <wp:posOffset>675640</wp:posOffset>
                </wp:positionV>
                <wp:extent cx="6813550" cy="697865"/>
                <wp:effectExtent l="0" t="0" r="0" b="0"/>
                <wp:wrapNone/>
                <wp:docPr id="5" name="Text Box 5"/>
                <wp:cNvGraphicFramePr/>
                <a:graphic xmlns:a="http://schemas.openxmlformats.org/drawingml/2006/main">
                  <a:graphicData uri="http://schemas.microsoft.com/office/word/2010/wordprocessingShape">
                    <wps:wsp>
                      <wps:cNvSpPr txBox="1"/>
                      <wps:spPr>
                        <a:xfrm>
                          <a:off x="779780" y="7165975"/>
                          <a:ext cx="6813550" cy="69786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027DB045">
                            <w:pPr>
                              <w:ind w:left="-440" w:leftChars="-200" w:firstLine="0" w:firstLineChars="0"/>
                              <w:jc w:val="center"/>
                            </w:pPr>
                            <w:r>
                              <w:rPr>
                                <w:rFonts w:asciiTheme="majorBidi" w:hAnsiTheme="majorBidi" w:cstheme="majorBidi"/>
                                <w:b/>
                                <w:bCs/>
                                <w:sz w:val="36"/>
                                <w:szCs w:val="36"/>
                                <w:lang w:val="fr-FR"/>
                              </w:rPr>
                              <w:t>IDENTIFICATION DES PARAISTES DE SANG CHEZ LES CAS ASYMPTOMATIQUE</w:t>
                            </w:r>
                            <w:r>
                              <w:rPr>
                                <w:rFonts w:hint="default" w:asciiTheme="majorBidi" w:hAnsiTheme="majorBidi" w:cstheme="majorBidi"/>
                                <w:b/>
                                <w:bCs/>
                                <w:sz w:val="36"/>
                                <w:szCs w:val="36"/>
                                <w:lang w:val="en-US"/>
                              </w:rPr>
                              <w:t>S</w:t>
                            </w:r>
                            <w:r>
                              <w:rPr>
                                <w:rFonts w:asciiTheme="majorBidi" w:hAnsiTheme="majorBidi" w:cstheme="majorBidi"/>
                                <w:b/>
                                <w:bCs/>
                                <w:sz w:val="36"/>
                                <w:szCs w:val="36"/>
                                <w:lang w:val="fr-FR"/>
                              </w:rPr>
                              <w:t xml:space="preserve"> CHEZ LES RUM</w:t>
                            </w:r>
                            <w:r>
                              <w:rPr>
                                <w:rFonts w:hint="default" w:asciiTheme="majorBidi" w:hAnsiTheme="majorBidi" w:cstheme="majorBidi"/>
                                <w:b/>
                                <w:bCs/>
                                <w:sz w:val="36"/>
                                <w:szCs w:val="36"/>
                                <w:lang w:val="en-US"/>
                              </w:rPr>
                              <w:t>I</w:t>
                            </w:r>
                            <w:r>
                              <w:rPr>
                                <w:rFonts w:asciiTheme="majorBidi" w:hAnsiTheme="majorBidi" w:cstheme="majorBidi"/>
                                <w:b/>
                                <w:bCs/>
                                <w:sz w:val="36"/>
                                <w:szCs w:val="36"/>
                                <w:lang w:val="fr-FR"/>
                              </w:rPr>
                              <w:t>NATANS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5pt;margin-top:53.2pt;height:54.95pt;width:536.5pt;z-index:251662336;mso-width-relative:page;mso-height-relative:page;" filled="f" stroked="f" coordsize="21600,21600" o:gfxdata="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AVY4gXcAAAADAEAAA8AAAAAAAAAAQAgAAAAIgAAAGRycy9kb3ducmV2Lnht&#10;bFBLAQIUABQAAAAIAIdO4kAeuaNpoAIAAFgFAAAOAAAAAAAAAAEAIAAAACsBAABkcnMvZTJvRG9j&#10;LnhtbFBLBQYAAAAABgAGAFkBAAA9BgAAAAA=&#10;">
                <v:fill on="f" focussize="0,0"/>
                <v:stroke on="f" weight="0.5pt"/>
                <v:imagedata o:title=""/>
                <o:lock v:ext="edit" aspectratio="f"/>
                <v:textbox>
                  <w:txbxContent>
                    <w:p w14:paraId="027DB045">
                      <w:pPr>
                        <w:ind w:left="-440" w:leftChars="-200" w:firstLine="0" w:firstLineChars="0"/>
                        <w:jc w:val="center"/>
                      </w:pPr>
                      <w:r>
                        <w:rPr>
                          <w:rFonts w:asciiTheme="majorBidi" w:hAnsiTheme="majorBidi" w:cstheme="majorBidi"/>
                          <w:b/>
                          <w:bCs/>
                          <w:sz w:val="36"/>
                          <w:szCs w:val="36"/>
                          <w:lang w:val="fr-FR"/>
                        </w:rPr>
                        <w:t>IDENTIFICATION DES PARAISTES DE SANG CHEZ LES CAS ASYMPTOMATIQUE</w:t>
                      </w:r>
                      <w:r>
                        <w:rPr>
                          <w:rFonts w:hint="default" w:asciiTheme="majorBidi" w:hAnsiTheme="majorBidi" w:cstheme="majorBidi"/>
                          <w:b/>
                          <w:bCs/>
                          <w:sz w:val="36"/>
                          <w:szCs w:val="36"/>
                          <w:lang w:val="en-US"/>
                        </w:rPr>
                        <w:t>S</w:t>
                      </w:r>
                      <w:r>
                        <w:rPr>
                          <w:rFonts w:asciiTheme="majorBidi" w:hAnsiTheme="majorBidi" w:cstheme="majorBidi"/>
                          <w:b/>
                          <w:bCs/>
                          <w:sz w:val="36"/>
                          <w:szCs w:val="36"/>
                          <w:lang w:val="fr-FR"/>
                        </w:rPr>
                        <w:t xml:space="preserve"> CHEZ LES RUM</w:t>
                      </w:r>
                      <w:r>
                        <w:rPr>
                          <w:rFonts w:hint="default" w:asciiTheme="majorBidi" w:hAnsiTheme="majorBidi" w:cstheme="majorBidi"/>
                          <w:b/>
                          <w:bCs/>
                          <w:sz w:val="36"/>
                          <w:szCs w:val="36"/>
                          <w:lang w:val="en-US"/>
                        </w:rPr>
                        <w:t>I</w:t>
                      </w:r>
                      <w:r>
                        <w:rPr>
                          <w:rFonts w:asciiTheme="majorBidi" w:hAnsiTheme="majorBidi" w:cstheme="majorBidi"/>
                          <w:b/>
                          <w:bCs/>
                          <w:sz w:val="36"/>
                          <w:szCs w:val="36"/>
                          <w:lang w:val="fr-FR"/>
                        </w:rPr>
                        <w:t>NATANS</w:t>
                      </w:r>
                    </w:p>
                  </w:txbxContent>
                </v:textbox>
              </v:shape>
            </w:pict>
          </mc:Fallback>
        </mc:AlternateContent>
      </w:r>
      <w:r>
        <w:rPr>
          <w:rFonts w:asciiTheme="majorBidi" w:hAnsiTheme="majorBidi" w:cstheme="majorBidi"/>
          <w:b/>
          <w:bCs/>
          <w:sz w:val="28"/>
          <w:szCs w:val="28"/>
          <w:lang w:val="fr-FR" w:eastAsia="fr-FR"/>
        </w:rPr>
        <mc:AlternateContent>
          <mc:Choice Requires="wps">
            <w:drawing>
              <wp:anchor distT="0" distB="0" distL="114300" distR="114300" simplePos="0" relativeHeight="251661312" behindDoc="0" locked="0" layoutInCell="1" allowOverlap="1">
                <wp:simplePos x="0" y="0"/>
                <wp:positionH relativeFrom="column">
                  <wp:posOffset>-508635</wp:posOffset>
                </wp:positionH>
                <wp:positionV relativeFrom="paragraph">
                  <wp:posOffset>553720</wp:posOffset>
                </wp:positionV>
                <wp:extent cx="6812280" cy="932180"/>
                <wp:effectExtent l="7620" t="7620" r="19050" b="12700"/>
                <wp:wrapNone/>
                <wp:docPr id="4" name="AutoShape 9"/>
                <wp:cNvGraphicFramePr/>
                <a:graphic xmlns:a="http://schemas.openxmlformats.org/drawingml/2006/main">
                  <a:graphicData uri="http://schemas.microsoft.com/office/word/2010/wordprocessingShape">
                    <wps:wsp>
                      <wps:cNvSpPr/>
                      <wps:spPr>
                        <a:xfrm>
                          <a:off x="0" y="0"/>
                          <a:ext cx="6812280" cy="932180"/>
                        </a:xfrm>
                        <a:prstGeom prst="roundRect">
                          <a:avLst>
                            <a:gd name="adj" fmla="val 16667"/>
                          </a:avLst>
                        </a:prstGeom>
                        <a:noFill/>
                        <a:ln w="15875" cap="flat" cmpd="sng">
                          <a:solidFill>
                            <a:srgbClr val="000000"/>
                          </a:solidFill>
                          <a:prstDash val="solid"/>
                          <a:headEnd type="none" w="med" len="med"/>
                          <a:tailEnd type="none" w="med" len="med"/>
                        </a:ln>
                      </wps:spPr>
                      <wps:bodyPr upright="1"/>
                    </wps:wsp>
                  </a:graphicData>
                </a:graphic>
              </wp:anchor>
            </w:drawing>
          </mc:Choice>
          <mc:Fallback>
            <w:pict>
              <v:roundrect id="AutoShape 9" o:spid="_x0000_s1026" o:spt="2" style="position:absolute;left:0pt;margin-left:-40.05pt;margin-top:43.6pt;height:73.4pt;width:536.4pt;z-index:251661312;mso-width-relative:page;mso-height-relative:page;" filled="f" stroked="t" coordsize="21600,21600" arcsize="0.166666666666667" o:gfxdata="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U8ny1wAAAAoBAAAPAAAAAAAAAAEAIAAAACIAAABkcnMvZG93&#10;bnJldi54bWxQSwECFAAUAAAACACHTuJAgtNJ8wECAAAgBAAADgAAAAAAAAABACAAAAAmAQAAZHJz&#10;L2Uyb0RvYy54bWxQSwUGAAAAAAYABgBZAQAAmQUAAAAA&#10;">
                <v:fill on="f" focussize="0,0"/>
                <v:stroke weight="1.25pt" color="#000000" joinstyle="round"/>
                <v:imagedata o:title=""/>
                <o:lock v:ext="edit" aspectratio="f"/>
              </v:roundrect>
            </w:pict>
          </mc:Fallback>
        </mc:AlternateContent>
      </w:r>
      <w:r>
        <w:rPr>
          <w:rFonts w:asciiTheme="majorBidi" w:hAnsiTheme="majorBidi" w:cstheme="majorBidi"/>
          <w:b/>
          <w:bCs/>
          <w:sz w:val="28"/>
          <w:szCs w:val="28"/>
          <w:lang w:val="fr-FR"/>
        </w:rPr>
        <w:t xml:space="preserve">Spécialité : </w:t>
      </w:r>
      <w:r>
        <w:rPr>
          <w:rFonts w:asciiTheme="majorBidi" w:hAnsiTheme="majorBidi" w:cstheme="majorBidi"/>
          <w:sz w:val="28"/>
          <w:szCs w:val="28"/>
          <w:lang w:val="fr-FR"/>
        </w:rPr>
        <w:t>Parasitologie</w:t>
      </w:r>
      <w:r>
        <w:rPr>
          <w:rFonts w:asciiTheme="majorBidi" w:hAnsiTheme="majorBidi" w:cstheme="majorBidi"/>
          <w:b/>
          <w:bCs/>
          <w:sz w:val="36"/>
          <w:szCs w:val="36"/>
          <w:lang w:val="fr-FR"/>
        </w:rPr>
        <w:t xml:space="preserve"> </w:t>
      </w:r>
      <w:r>
        <w:rPr>
          <w:rFonts w:asciiTheme="majorBidi" w:hAnsiTheme="majorBidi" w:cstheme="majorBidi"/>
          <w:b/>
          <w:bCs/>
          <w:sz w:val="36"/>
          <w:szCs w:val="36"/>
          <w:lang w:val="fr-FR"/>
        </w:rPr>
        <w:br w:type="textWrapping"/>
      </w:r>
      <w:r>
        <w:rPr>
          <w:rFonts w:asciiTheme="majorBidi" w:hAnsiTheme="majorBidi" w:cstheme="majorBidi"/>
          <w:b/>
          <w:bCs/>
          <w:sz w:val="36"/>
          <w:szCs w:val="36"/>
          <w:lang w:val="fr-FR"/>
        </w:rPr>
        <w:t>THEME</w:t>
      </w:r>
    </w:p>
    <w:p w14:paraId="78FD4950">
      <w:pPr>
        <w:spacing w:line="360" w:lineRule="auto"/>
        <w:ind w:left="-220" w:leftChars="-100" w:firstLine="0" w:firstLineChars="0"/>
        <w:jc w:val="center"/>
        <w:rPr>
          <w:rFonts w:asciiTheme="majorBidi" w:hAnsiTheme="majorBidi" w:cstheme="majorBidi"/>
          <w:b/>
          <w:bCs/>
          <w:sz w:val="36"/>
          <w:szCs w:val="36"/>
          <w:lang w:val="fr-FR"/>
        </w:rPr>
      </w:pPr>
    </w:p>
    <w:p w14:paraId="5979B496">
      <w:pPr>
        <w:spacing w:line="360" w:lineRule="auto"/>
        <w:jc w:val="both"/>
        <w:rPr>
          <w:rFonts w:asciiTheme="majorBidi" w:hAnsiTheme="majorBidi" w:cstheme="majorBidi"/>
          <w:b/>
          <w:bCs/>
          <w:sz w:val="36"/>
          <w:szCs w:val="36"/>
          <w:lang w:val="fr-FR"/>
        </w:rPr>
      </w:pPr>
    </w:p>
    <w:p w14:paraId="5D4FBC05">
      <w:pPr>
        <w:spacing w:after="0" w:line="360" w:lineRule="auto"/>
        <w:jc w:val="center"/>
        <w:rPr>
          <w:rFonts w:asciiTheme="majorBidi" w:hAnsiTheme="majorBidi" w:cstheme="majorBidi"/>
          <w:b/>
          <w:bCs/>
          <w:sz w:val="24"/>
          <w:szCs w:val="24"/>
          <w:lang w:val="fr-FR"/>
        </w:rPr>
      </w:pPr>
      <w:r>
        <w:rPr>
          <w:rFonts w:asciiTheme="majorBidi" w:hAnsiTheme="majorBidi" w:cstheme="majorBidi"/>
          <w:sz w:val="24"/>
          <w:szCs w:val="24"/>
          <w:lang w:val="fr-FR"/>
        </w:rPr>
        <w:t>Soutenue publiquement le </w:t>
      </w:r>
      <w:r>
        <w:rPr>
          <w:rFonts w:asciiTheme="majorBidi" w:hAnsiTheme="majorBidi" w:cstheme="majorBidi"/>
          <w:b/>
          <w:bCs/>
          <w:sz w:val="24"/>
          <w:szCs w:val="24"/>
          <w:lang w:val="fr-FR"/>
        </w:rPr>
        <w:t>: 22/06/2025</w:t>
      </w:r>
    </w:p>
    <w:p w14:paraId="2395A32C">
      <w:pPr>
        <w:spacing w:after="0" w:line="360" w:lineRule="auto"/>
        <w:rPr>
          <w:rFonts w:asciiTheme="majorBidi" w:hAnsiTheme="majorBidi" w:cstheme="majorBidi"/>
          <w:b/>
          <w:bCs/>
          <w:sz w:val="24"/>
          <w:szCs w:val="24"/>
          <w:lang w:val="fr-FR"/>
        </w:rPr>
      </w:pPr>
      <w:r>
        <w:rPr>
          <w:sz w:val="24"/>
        </w:rPr>
        <mc:AlternateContent>
          <mc:Choice Requires="wps">
            <w:drawing>
              <wp:anchor distT="0" distB="0" distL="114300" distR="114300" simplePos="0" relativeHeight="251663360" behindDoc="0" locked="0" layoutInCell="1" allowOverlap="1">
                <wp:simplePos x="0" y="0"/>
                <wp:positionH relativeFrom="column">
                  <wp:posOffset>1901190</wp:posOffset>
                </wp:positionH>
                <wp:positionV relativeFrom="paragraph">
                  <wp:posOffset>1398905</wp:posOffset>
                </wp:positionV>
                <wp:extent cx="1577340" cy="285750"/>
                <wp:effectExtent l="0" t="0" r="0" b="0"/>
                <wp:wrapNone/>
                <wp:docPr id="7" name="Text Box 7"/>
                <wp:cNvGraphicFramePr/>
                <a:graphic xmlns:a="http://schemas.openxmlformats.org/drawingml/2006/main">
                  <a:graphicData uri="http://schemas.microsoft.com/office/word/2010/wordprocessingShape">
                    <wps:wsp>
                      <wps:cNvSpPr txBox="1"/>
                      <wps:spPr>
                        <a:xfrm>
                          <a:off x="2800985" y="9890760"/>
                          <a:ext cx="1577340" cy="28575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4B4A7AEF">
                            <w:pPr>
                              <w:jc w:val="center"/>
                            </w:pPr>
                            <w:r>
                              <w:rPr>
                                <w:rFonts w:asciiTheme="majorBidi" w:hAnsiTheme="majorBidi" w:cstheme="majorBidi"/>
                                <w:b/>
                                <w:bCs/>
                                <w:sz w:val="24"/>
                                <w:szCs w:val="24"/>
                                <w:lang w:val="fr-FR"/>
                              </w:rPr>
                              <w:t>2024/ 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7pt;margin-top:110.15pt;height:22.5pt;width:124.2pt;z-index:251663360;mso-width-relative:page;mso-height-relative:page;" filled="f" stroked="f" coordsize="21600,21600" o:gfxdata="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KEixP7cAAAACwEAAA8AAAAAAAAAAQAgAAAAIgAAAGRycy9kb3ducmV2Lnht&#10;bFBLAQIUABQAAAAIAIdO4kDau+0GoAIAAFkFAAAOAAAAAAAAAAEAIAAAACsBAABkcnMvZTJvRG9j&#10;LnhtbFBLBQYAAAAABgAGAFkBAAA9BgAAAAA=&#10;">
                <v:fill on="f" focussize="0,0"/>
                <v:stroke on="f" weight="0.5pt"/>
                <v:imagedata o:title=""/>
                <o:lock v:ext="edit" aspectratio="f"/>
                <v:textbox>
                  <w:txbxContent>
                    <w:p w14:paraId="4B4A7AEF">
                      <w:pPr>
                        <w:jc w:val="center"/>
                      </w:pPr>
                      <w:r>
                        <w:rPr>
                          <w:rFonts w:asciiTheme="majorBidi" w:hAnsiTheme="majorBidi" w:cstheme="majorBidi"/>
                          <w:b/>
                          <w:bCs/>
                          <w:sz w:val="24"/>
                          <w:szCs w:val="24"/>
                          <w:lang w:val="fr-FR"/>
                        </w:rPr>
                        <w:t>2024/ 2025</w:t>
                      </w:r>
                    </w:p>
                  </w:txbxContent>
                </v:textbox>
              </v:shape>
            </w:pict>
          </mc:Fallback>
        </mc:AlternateContent>
      </w:r>
      <w:r>
        <w:rPr>
          <w:rFonts w:asciiTheme="majorBidi" w:hAnsiTheme="majorBidi" w:cstheme="majorBidi"/>
          <w:b/>
          <w:bCs/>
          <w:sz w:val="24"/>
          <w:szCs w:val="24"/>
          <w:lang w:val="fr-FR"/>
        </w:rPr>
        <w:t>Devant le jury :</w:t>
      </w:r>
      <w:bookmarkStart w:id="6" w:name="_GoBack"/>
      <w:bookmarkEnd w:id="6"/>
    </w:p>
    <w:tbl>
      <w:tblPr>
        <w:tblStyle w:val="4"/>
        <w:tblpPr w:leftFromText="180" w:rightFromText="180" w:vertAnchor="text" w:horzAnchor="page" w:tblpX="1237" w:tblpY="1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3"/>
        <w:gridCol w:w="2325"/>
        <w:gridCol w:w="2265"/>
        <w:gridCol w:w="2265"/>
      </w:tblGrid>
      <w:tr w14:paraId="6BB4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33" w:type="dxa"/>
          </w:tcPr>
          <w:p w14:paraId="7D22BC2F">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Président</w:t>
            </w:r>
          </w:p>
        </w:tc>
        <w:tc>
          <w:tcPr>
            <w:tcW w:w="2325" w:type="dxa"/>
          </w:tcPr>
          <w:p w14:paraId="7040F23A">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Bensbaa fathi</w:t>
            </w:r>
          </w:p>
        </w:tc>
        <w:tc>
          <w:tcPr>
            <w:tcW w:w="2265" w:type="dxa"/>
          </w:tcPr>
          <w:p w14:paraId="5E74510B">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MCA</w:t>
            </w:r>
          </w:p>
        </w:tc>
        <w:tc>
          <w:tcPr>
            <w:tcW w:w="2265" w:type="dxa"/>
          </w:tcPr>
          <w:p w14:paraId="1FE47CAC">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Univ-Sétif-1</w:t>
            </w:r>
          </w:p>
        </w:tc>
      </w:tr>
      <w:tr w14:paraId="6CB0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33" w:type="dxa"/>
          </w:tcPr>
          <w:p w14:paraId="3E527CB7">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Encadrante</w:t>
            </w:r>
          </w:p>
        </w:tc>
        <w:tc>
          <w:tcPr>
            <w:tcW w:w="2325" w:type="dxa"/>
          </w:tcPr>
          <w:p w14:paraId="3D77966A">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Ayadi Ouarda</w:t>
            </w:r>
          </w:p>
        </w:tc>
        <w:tc>
          <w:tcPr>
            <w:tcW w:w="2265" w:type="dxa"/>
          </w:tcPr>
          <w:p w14:paraId="1AC053B3">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Pr</w:t>
            </w:r>
          </w:p>
        </w:tc>
        <w:tc>
          <w:tcPr>
            <w:tcW w:w="2265" w:type="dxa"/>
          </w:tcPr>
          <w:p w14:paraId="348BA9ED">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Univ-Sétif-1</w:t>
            </w:r>
          </w:p>
        </w:tc>
      </w:tr>
      <w:tr w14:paraId="760E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33" w:type="dxa"/>
          </w:tcPr>
          <w:p w14:paraId="65BC9862">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Examinatrice</w:t>
            </w:r>
          </w:p>
        </w:tc>
        <w:tc>
          <w:tcPr>
            <w:tcW w:w="2325" w:type="dxa"/>
          </w:tcPr>
          <w:p w14:paraId="4291CE61">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Barket Habiba</w:t>
            </w:r>
          </w:p>
        </w:tc>
        <w:tc>
          <w:tcPr>
            <w:tcW w:w="2265" w:type="dxa"/>
          </w:tcPr>
          <w:p w14:paraId="00F34BF6">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MAA</w:t>
            </w:r>
          </w:p>
        </w:tc>
        <w:tc>
          <w:tcPr>
            <w:tcW w:w="2265" w:type="dxa"/>
          </w:tcPr>
          <w:p w14:paraId="48E86B5F">
            <w:pPr>
              <w:spacing w:after="0" w:line="360" w:lineRule="auto"/>
              <w:rPr>
                <w:rFonts w:asciiTheme="majorBidi" w:hAnsiTheme="majorBidi" w:cstheme="majorBidi"/>
                <w:b/>
                <w:bCs/>
                <w:sz w:val="24"/>
                <w:szCs w:val="24"/>
                <w:lang w:val="fr-FR"/>
              </w:rPr>
            </w:pPr>
            <w:r>
              <w:rPr>
                <w:rFonts w:asciiTheme="majorBidi" w:hAnsiTheme="majorBidi" w:cstheme="majorBidi"/>
                <w:b/>
                <w:bCs/>
                <w:sz w:val="24"/>
                <w:szCs w:val="24"/>
                <w:lang w:val="fr-FR"/>
              </w:rPr>
              <w:t>Univ-Sétif-1</w:t>
            </w:r>
          </w:p>
        </w:tc>
      </w:tr>
    </w:tbl>
    <w:p w14:paraId="6EF96DF3">
      <w:pPr>
        <w:pStyle w:val="2"/>
        <w:spacing w:line="360" w:lineRule="auto"/>
        <w:jc w:val="center"/>
        <w:rPr>
          <w:rFonts w:asciiTheme="majorBidi" w:hAnsiTheme="majorBidi"/>
          <w:lang w:val="fr-FR"/>
        </w:rPr>
      </w:pPr>
      <w:bookmarkStart w:id="0" w:name="_Toc6187"/>
      <w:bookmarkStart w:id="1" w:name="_Toc3516"/>
      <w:bookmarkStart w:id="2" w:name="_Toc6489"/>
      <w:bookmarkStart w:id="3" w:name="_Toc26083"/>
      <w:bookmarkStart w:id="4" w:name="_Toc7508"/>
      <w:bookmarkStart w:id="5" w:name="_Toc10139"/>
      <w:r>
        <w:rPr>
          <w:rFonts w:ascii="Times New Roman" w:hAnsi="Times New Roman" w:cs="Times New Roman"/>
          <w:color w:val="000000" w:themeColor="text1"/>
          <w:lang w:val="fr-FR"/>
          <w14:textFill>
            <w14:solidFill>
              <w14:schemeClr w14:val="tx1"/>
            </w14:solidFill>
          </w14:textFill>
        </w:rPr>
        <w:t xml:space="preserve">INTRODUCTION </w:t>
      </w:r>
      <w:r>
        <w:rPr>
          <w:lang w:val="fr-FR"/>
        </w:rPr>
        <w:br w:type="textWrapping"/>
      </w:r>
      <w:bookmarkEnd w:id="0"/>
      <w:bookmarkEnd w:id="1"/>
      <w:bookmarkEnd w:id="2"/>
      <w:bookmarkEnd w:id="3"/>
      <w:bookmarkEnd w:id="4"/>
      <w:bookmarkEnd w:id="5"/>
    </w:p>
    <w:p w14:paraId="71FC05E0">
      <w:pPr>
        <w:pStyle w:val="8"/>
        <w:spacing w:before="120" w:beforeAutospacing="0" w:after="120" w:afterAutospacing="0" w:line="360" w:lineRule="auto"/>
        <w:ind w:firstLine="567"/>
        <w:jc w:val="both"/>
      </w:pPr>
      <w:r>
        <w:t>Les hémoparasitoses bovines constituent un ensemble de maladies infectieuses provoquées par des protozoaires intracellulaires, affectant principalement les ruminants domestiques et, dans certains cas, les animaux sauvages. Ces infections, bien que parfois cliniquement silencieuses, sont responsables de perturbations hématologiques importantes, et peuvent avoir des répercussions économiques considérables, en particulier dans les régions à forte activité d’élevage.</w:t>
      </w:r>
    </w:p>
    <w:p w14:paraId="6C7A534A">
      <w:pPr>
        <w:pStyle w:val="8"/>
        <w:spacing w:before="120" w:beforeAutospacing="0" w:after="120" w:afterAutospacing="0" w:line="360" w:lineRule="auto"/>
        <w:ind w:firstLine="567"/>
        <w:jc w:val="both"/>
      </w:pPr>
      <w:r>
        <w:t xml:space="preserve">Parmi les hémoparasites les plus fréquemment rencontrés figurent </w:t>
      </w:r>
      <w:r>
        <w:rPr>
          <w:rStyle w:val="5"/>
        </w:rPr>
        <w:t>Babesia spp.</w:t>
      </w:r>
      <w:r>
        <w:t xml:space="preserve">, </w:t>
      </w:r>
      <w:r>
        <w:rPr>
          <w:rStyle w:val="5"/>
        </w:rPr>
        <w:t>Theileria</w:t>
      </w:r>
      <w:r>
        <w:rPr>
          <w:rStyle w:val="5"/>
          <w:rFonts w:hint="default"/>
          <w:lang w:val="en-US"/>
        </w:rPr>
        <w:t xml:space="preserve"> </w:t>
      </w:r>
      <w:r>
        <w:rPr>
          <w:rStyle w:val="5"/>
        </w:rPr>
        <w:t>spp.</w:t>
      </w:r>
      <w:r>
        <w:t xml:space="preserve"> et </w:t>
      </w:r>
      <w:r>
        <w:rPr>
          <w:i/>
          <w:iCs/>
        </w:rPr>
        <w:t>Anaplasma</w:t>
      </w:r>
      <w:r>
        <w:rPr>
          <w:rStyle w:val="5"/>
        </w:rPr>
        <w:t xml:space="preserve"> spp.</w:t>
      </w:r>
      <w:r>
        <w:t xml:space="preserve">, agents responsables respectivement de la babésiose, de la théilériose et de l’anaplasmose. Ces parasites se transmettent principalement par l’intermédiaire de tiques dures appartenant à la famille des Ixodidae, notamment les genres </w:t>
      </w:r>
      <w:r>
        <w:rPr>
          <w:rStyle w:val="5"/>
        </w:rPr>
        <w:t>Hyalomma</w:t>
      </w:r>
      <w:r>
        <w:t xml:space="preserve">, </w:t>
      </w:r>
      <w:r>
        <w:rPr>
          <w:rStyle w:val="5"/>
        </w:rPr>
        <w:t>Rhipicephalus</w:t>
      </w:r>
      <w:r>
        <w:t xml:space="preserve"> et </w:t>
      </w:r>
      <w:r>
        <w:rPr>
          <w:rStyle w:val="5"/>
        </w:rPr>
        <w:t>Amblyomma</w:t>
      </w:r>
      <w:r>
        <w:t xml:space="preserve">. Leur présence est fortement influencée par les conditions climatiques et environnementales qui favorisent la prolifération des vecteurs, notamment dans les zones tropicales, subtropicales et méditerranéennes, comme c’est le cas en Afrique du Nord, au Moyen-Orient et en Asie </w:t>
      </w:r>
      <w:r>
        <w:rPr>
          <w:b/>
          <w:bCs/>
        </w:rPr>
        <w:t>(Uilenberg, 1981 ; Singh et al., 2001)</w:t>
      </w:r>
      <w:r>
        <w:t>.</w:t>
      </w:r>
    </w:p>
    <w:p w14:paraId="2BDA33E5">
      <w:pPr>
        <w:pStyle w:val="8"/>
        <w:spacing w:before="120" w:beforeAutospacing="0" w:after="120" w:afterAutospacing="0" w:line="360" w:lineRule="auto"/>
        <w:ind w:firstLine="567"/>
        <w:jc w:val="both"/>
        <w:rPr>
          <w:b/>
          <w:bCs/>
        </w:rPr>
      </w:pPr>
      <w:r>
        <w:t xml:space="preserve">En Algérie, ces maladies sont largement répandues dans les étages bioclimatiques humide, subhumide et semi-aride. Elles représentent une menace importante pour le développement de l’élevage bovin, tant par leur impact sur la santé animale que par les pertes économiques qu’elles engendrent, notamment en termes de production de lait, de viande, et de performances reproductives. Si les formes cliniques de ces maladies sont bien documentées, les formes asymptomatiques restent encore peu étudiées, bien qu’elles constituent un réservoir épidémiologique non négligeable et un facteur de transmission silencieuse au sein des troupeaux </w:t>
      </w:r>
      <w:r>
        <w:rPr>
          <w:b/>
          <w:bCs/>
        </w:rPr>
        <w:t>(Ayadi, 2016 ; Touder et al., 2003)</w:t>
      </w:r>
      <w:r>
        <w:t>.</w:t>
      </w:r>
    </w:p>
    <w:p w14:paraId="6D05B553">
      <w:pPr>
        <w:pStyle w:val="8"/>
        <w:spacing w:before="120" w:beforeAutospacing="0" w:after="120" w:afterAutospacing="0" w:line="360" w:lineRule="auto"/>
        <w:ind w:firstLine="567"/>
        <w:jc w:val="both"/>
      </w:pPr>
      <w:r>
        <w:t xml:space="preserve">Les animaux asymptomatiques, bien qu’ils apparaissent en bonne santé, peuvent présenter des altérations hématologiques significatives, notamment une leucopénie ou une perturbation des lignées immunitaires, traduisant une infection active ou chronique. Ce portage subclinique complique le diagnostic et retarde souvent la mise en place de mesures de contrôle efficaces, surtout en l'absence de programmes de dépistage systématique </w:t>
      </w:r>
      <w:r>
        <w:rPr>
          <w:b/>
          <w:bCs/>
        </w:rPr>
        <w:t>(Uilenberg, 1981)</w:t>
      </w:r>
      <w:r>
        <w:t>.</w:t>
      </w:r>
    </w:p>
    <w:p w14:paraId="0F0A28E4">
      <w:pPr>
        <w:pStyle w:val="8"/>
        <w:spacing w:before="120" w:beforeAutospacing="0" w:after="120" w:afterAutospacing="0" w:line="360" w:lineRule="auto"/>
        <w:ind w:left="568"/>
        <w:jc w:val="both"/>
      </w:pPr>
      <w:r>
        <w:t>C’est dans ce contexte que s’inscrit le présent travail, dont l’objectif principal est :</w:t>
      </w:r>
    </w:p>
    <w:p w14:paraId="13CF7059">
      <w:pPr>
        <w:pStyle w:val="8"/>
        <w:numPr>
          <w:ilvl w:val="0"/>
          <w:numId w:val="1"/>
        </w:numPr>
        <w:tabs>
          <w:tab w:val="left" w:pos="3880"/>
        </w:tabs>
        <w:spacing w:before="120" w:beforeAutospacing="0" w:after="120" w:afterAutospacing="0" w:line="360" w:lineRule="auto"/>
        <w:ind w:left="700"/>
        <w:jc w:val="both"/>
      </w:pPr>
      <w:r>
        <w:t xml:space="preserve">Évaluer la prévalence des infections asymptomatiques par </w:t>
      </w:r>
      <w:r>
        <w:rPr>
          <w:i/>
          <w:iCs/>
        </w:rPr>
        <w:t>Babesia</w:t>
      </w:r>
      <w:r>
        <w:t xml:space="preserve">, </w:t>
      </w:r>
      <w:r>
        <w:rPr>
          <w:i/>
          <w:iCs/>
        </w:rPr>
        <w:t xml:space="preserve">Theileria </w:t>
      </w:r>
      <w:r>
        <w:t xml:space="preserve">et </w:t>
      </w:r>
      <w:r>
        <w:rPr>
          <w:i/>
          <w:iCs/>
        </w:rPr>
        <w:t xml:space="preserve">Anaplasma </w:t>
      </w:r>
      <w:r>
        <w:t>chez les bovins de la région de Sétif.</w:t>
      </w:r>
    </w:p>
    <w:p w14:paraId="1815BEAE">
      <w:pPr>
        <w:pStyle w:val="8"/>
        <w:numPr>
          <w:ilvl w:val="0"/>
          <w:numId w:val="1"/>
        </w:numPr>
        <w:tabs>
          <w:tab w:val="left" w:pos="3880"/>
        </w:tabs>
        <w:spacing w:before="120" w:beforeAutospacing="0" w:after="120" w:afterAutospacing="0" w:line="360" w:lineRule="auto"/>
        <w:ind w:left="700"/>
        <w:jc w:val="both"/>
      </w:pPr>
      <w:r>
        <w:t>Comparer la fréquence des infections simples (mono-infections) à celle des (co-infections) (infections doubles ou multiples).</w:t>
      </w:r>
    </w:p>
    <w:p w14:paraId="1540E378">
      <w:pPr>
        <w:pStyle w:val="8"/>
        <w:numPr>
          <w:ilvl w:val="0"/>
          <w:numId w:val="1"/>
        </w:numPr>
        <w:tabs>
          <w:tab w:val="left" w:pos="3880"/>
        </w:tabs>
        <w:spacing w:before="120" w:beforeAutospacing="0" w:after="120" w:afterAutospacing="0" w:line="360" w:lineRule="auto"/>
        <w:ind w:left="700"/>
        <w:jc w:val="both"/>
      </w:pPr>
      <w:r>
        <w:t>Analyser les variations du taux de leucocytes entre les bovins infectés et les bovins non infectés, afin d’explorer d’éventuelles réponses immunitaires subcliniques.</w:t>
      </w:r>
    </w:p>
    <w:p w14:paraId="7563264B">
      <w:pPr>
        <w:pStyle w:val="8"/>
        <w:numPr>
          <w:ilvl w:val="0"/>
          <w:numId w:val="1"/>
        </w:numPr>
        <w:tabs>
          <w:tab w:val="left" w:pos="3880"/>
        </w:tabs>
        <w:spacing w:before="120" w:beforeAutospacing="0" w:after="120" w:afterAutospacing="0" w:line="360" w:lineRule="auto"/>
        <w:ind w:left="700"/>
        <w:jc w:val="both"/>
        <w:sectPr>
          <w:pgSz w:w="11906" w:h="16838"/>
          <w:pgMar w:top="1417" w:right="1417" w:bottom="1417" w:left="1417" w:header="709" w:footer="709" w:gutter="0"/>
          <w:pgNumType w:start="1"/>
          <w:cols w:space="708" w:num="1"/>
          <w:docGrid w:linePitch="360" w:charSpace="0"/>
        </w:sectPr>
      </w:pPr>
      <w:r>
        <w:t>Analyser l’influence du sexe et de la tranche d’âge des bovins sur la prévalence des infections parasitaires.</w:t>
      </w:r>
      <w:r>
        <w:tab/>
      </w:r>
    </w:p>
    <w:p w14:paraId="172F8467">
      <w:pPr>
        <w:tabs>
          <w:tab w:val="left" w:pos="414"/>
          <w:tab w:val="left" w:pos="3261"/>
          <w:tab w:val="left" w:pos="4018"/>
          <w:tab w:val="left" w:pos="7513"/>
        </w:tabs>
        <w:jc w:val="center"/>
        <w:rPr>
          <w:rFonts w:hint="default" w:asciiTheme="majorBidi" w:hAnsiTheme="majorBidi" w:cstheme="majorBidi"/>
          <w:b/>
          <w:bCs/>
          <w:i w:val="0"/>
          <w:iCs w:val="0"/>
          <w:color w:val="000000" w:themeColor="text1"/>
          <w:sz w:val="24"/>
          <w:szCs w:val="24"/>
          <w:lang w:val="en-US"/>
          <w14:textFill>
            <w14:solidFill>
              <w14:schemeClr w14:val="tx1"/>
            </w14:solidFill>
          </w14:textFill>
        </w:rPr>
      </w:pPr>
      <w:r>
        <w:rPr>
          <w:rFonts w:hint="default" w:asciiTheme="majorBidi" w:hAnsiTheme="majorBidi" w:cstheme="majorBidi"/>
          <w:b/>
          <w:bCs/>
          <w:i w:val="0"/>
          <w:iCs w:val="0"/>
          <w:color w:val="000000" w:themeColor="text1"/>
          <w:sz w:val="24"/>
          <w:szCs w:val="24"/>
          <w:lang w:val="en-US"/>
          <w14:textFill>
            <w14:solidFill>
              <w14:schemeClr w14:val="tx1"/>
            </w14:solidFill>
          </w14:textFill>
        </w:rPr>
        <w:t>SOMMAIRE</w:t>
      </w:r>
    </w:p>
    <w:p w14:paraId="022703E2">
      <w:pPr>
        <w:spacing w:after="0" w:line="240" w:lineRule="auto"/>
        <w:jc w:val="left"/>
        <w:rPr>
          <w:rFonts w:asciiTheme="majorBidi" w:hAnsiTheme="majorBidi" w:cstheme="majorBidi"/>
          <w:b/>
          <w:bCs/>
          <w:i/>
          <w:iCs/>
          <w:color w:val="000000" w:themeColor="text1"/>
          <w:szCs w:val="28"/>
          <w14:textFill>
            <w14:solidFill>
              <w14:schemeClr w14:val="tx1"/>
            </w14:solidFill>
          </w14:textFill>
        </w:rPr>
      </w:pPr>
    </w:p>
    <w:p w14:paraId="26FCAF44">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asciiTheme="majorBidi" w:hAnsiTheme="majorBidi" w:cstheme="majorBidi"/>
          <w:b/>
          <w:bCs/>
          <w:i/>
          <w:iCs/>
          <w:color w:val="000000" w:themeColor="text1"/>
          <w:szCs w:val="28"/>
          <w14:textFill>
            <w14:solidFill>
              <w14:schemeClr w14:val="tx1"/>
            </w14:solidFill>
          </w14:textFill>
        </w:rPr>
        <w:fldChar w:fldCharType="begin"/>
      </w:r>
      <w:r>
        <w:rPr>
          <w:rFonts w:asciiTheme="majorBidi" w:hAnsiTheme="majorBidi" w:cstheme="majorBidi"/>
          <w:b/>
          <w:bCs/>
          <w:i/>
          <w:iCs/>
          <w:color w:val="000000" w:themeColor="text1"/>
          <w:szCs w:val="28"/>
          <w14:textFill>
            <w14:solidFill>
              <w14:schemeClr w14:val="tx1"/>
            </w14:solidFill>
          </w14:textFill>
        </w:rPr>
        <w:instrText xml:space="preserve">TOC \o "1-3" \h \u </w:instrText>
      </w:r>
      <w:r>
        <w:rPr>
          <w:rFonts w:asciiTheme="majorBidi" w:hAnsiTheme="majorBidi" w:cstheme="majorBidi"/>
          <w:b/>
          <w:bCs/>
          <w:i/>
          <w:iCs/>
          <w:color w:val="000000" w:themeColor="text1"/>
          <w:szCs w:val="28"/>
          <w14:textFill>
            <w14:solidFill>
              <w14:schemeClr w14:val="tx1"/>
            </w14:solidFill>
          </w14:textFill>
        </w:rPr>
        <w:fldChar w:fldCharType="separate"/>
      </w:r>
      <w:r>
        <w:rPr>
          <w:rFonts w:hint="default" w:ascii="Times New Roman" w:hAnsi="Times New Roman" w:cs="Times New Roman"/>
          <w:b/>
          <w:bCs/>
          <w:i/>
          <w:iCs/>
          <w:color w:val="000000" w:themeColor="text1"/>
          <w:szCs w:val="28"/>
          <w14:textFill>
            <w14:solidFill>
              <w14:schemeClr w14:val="tx1"/>
            </w14:solidFill>
          </w14:textFill>
        </w:rPr>
        <w:fldChar w:fldCharType="begin"/>
      </w:r>
      <w:r>
        <w:rPr>
          <w:rFonts w:hint="default" w:ascii="Times New Roman" w:hAnsi="Times New Roman" w:cs="Times New Roman"/>
          <w:b/>
          <w:bCs/>
          <w:i/>
          <w:iCs/>
          <w:color w:val="000000" w:themeColor="text1"/>
          <w:szCs w:val="28"/>
          <w14:textFill>
            <w14:solidFill>
              <w14:schemeClr w14:val="tx1"/>
            </w14:solidFill>
          </w14:textFill>
        </w:rPr>
        <w:instrText xml:space="preserve"> HYPERLINK \l _Toc6187 </w:instrText>
      </w:r>
      <w:r>
        <w:rPr>
          <w:rFonts w:hint="default" w:ascii="Times New Roman" w:hAnsi="Times New Roman" w:cs="Times New Roman"/>
          <w:b/>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 xml:space="preserve">INTRODUCTION  </w:t>
      </w:r>
      <w:r>
        <w:rPr>
          <w:rFonts w:hint="default" w:ascii="Times New Roman" w:hAnsi="Times New Roman" w:cs="Times New Roman"/>
          <w:b/>
          <w:bCs/>
          <w:color w:val="000000" w:themeColor="text1"/>
          <w14:textFill>
            <w14:solidFill>
              <w14:schemeClr w14:val="tx1"/>
            </w14:solidFill>
          </w14:textFill>
        </w:rPr>
        <w:tab/>
      </w:r>
      <w:r>
        <w:rPr>
          <w:rFonts w:hint="default" w:ascii="Times New Roman" w:hAnsi="Times New Roman" w:cs="Times New Roman"/>
          <w:b/>
          <w:bCs/>
          <w:i/>
          <w:iCs/>
          <w:color w:val="000000" w:themeColor="text1"/>
          <w:szCs w:val="28"/>
          <w14:textFill>
            <w14:solidFill>
              <w14:schemeClr w14:val="tx1"/>
            </w14:solidFill>
          </w14:textFill>
        </w:rPr>
        <w:fldChar w:fldCharType="end"/>
      </w:r>
    </w:p>
    <w:p w14:paraId="02E711BD">
      <w:pPr>
        <w:pStyle w:val="9"/>
        <w:tabs>
          <w:tab w:val="right" w:pos="9070"/>
        </w:tabs>
        <w:ind w:left="0" w:leftChars="0" w:firstLine="3740" w:firstLineChars="17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_Toc1948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 xml:space="preserve"> </w:t>
      </w:r>
      <w:r>
        <w:rPr>
          <w:rFonts w:hint="default" w:ascii="Times New Roman" w:hAnsi="Times New Roman" w:cs="Times New Roman"/>
          <w:b/>
          <w:bCs/>
          <w:i/>
          <w:iCs/>
          <w:color w:val="000000" w:themeColor="text1"/>
          <w:szCs w:val="28"/>
          <w:lang w:val="fr-FR"/>
          <w14:textFill>
            <w14:solidFill>
              <w14:schemeClr w14:val="tx1"/>
            </w14:solidFill>
          </w14:textFill>
        </w:rPr>
        <w:t>Chapitre I</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bCs/>
          <w:i/>
          <w:iCs/>
          <w:color w:val="000000" w:themeColor="text1"/>
          <w:szCs w:val="28"/>
          <w14:textFill>
            <w14:solidFill>
              <w14:schemeClr w14:val="tx1"/>
            </w14:solidFill>
          </w14:textFill>
        </w:rPr>
        <w:fldChar w:fldCharType="end"/>
      </w:r>
    </w:p>
    <w:p w14:paraId="65A71C95">
      <w:pPr>
        <w:pStyle w:val="9"/>
        <w:tabs>
          <w:tab w:val="right" w:pos="9070"/>
        </w:tabs>
        <w:ind w:left="3080" w:leftChars="1400"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_Toc2618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val="0"/>
          <w:i/>
          <w:iCs/>
          <w:color w:val="000000" w:themeColor="text1"/>
          <w:szCs w:val="28"/>
          <w:lang w:val="fr-FR"/>
          <w14:textFill>
            <w14:solidFill>
              <w14:schemeClr w14:val="tx1"/>
            </w14:solidFill>
          </w14:textFill>
        </w:rPr>
        <w:t xml:space="preserve">BABESIOSE BOVINE  </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bCs/>
          <w:i/>
          <w:iCs/>
          <w:color w:val="000000" w:themeColor="text1"/>
          <w:szCs w:val="28"/>
          <w14:textFill>
            <w14:solidFill>
              <w14:schemeClr w14:val="tx1"/>
            </w14:solidFill>
          </w14:textFill>
        </w:rPr>
        <w:fldChar w:fldCharType="end"/>
      </w:r>
    </w:p>
    <w:p w14:paraId="66D782FF">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_Toc12351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1. GÉNERALITÉS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_Toc12351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03421F5">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_Toc4741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1.1. Définition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_Toc4741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D89A968">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_Toc5351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1.2. Synonymes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_Toc5351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DC92D5F">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_Toc24467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2.ÉTUDE DE PARASITE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_Toc24467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3CA5C21">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_Toc25033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2.1. Systématique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_Toc25033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69B984D">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_Toc28011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2.2. Morphologie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_Toc28011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0A35C49">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_Toc10473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4"/>
          <w14:textFill>
            <w14:solidFill>
              <w14:schemeClr w14:val="tx1"/>
            </w14:solidFill>
          </w14:textFill>
        </w:rPr>
        <w:t>2.3. Caractéristiques des espèces de Babesia affectant les bovins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_Toc10473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118BB6D">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_Toc23470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xml:space="preserve">2.3.1. </w:t>
      </w:r>
      <w:r>
        <w:rPr>
          <w:rFonts w:hint="default" w:ascii="Times New Roman" w:hAnsi="Times New Roman" w:cs="Times New Roman"/>
          <w:i/>
          <w:iCs/>
          <w:color w:val="000000" w:themeColor="text1"/>
          <w14:textFill>
            <w14:solidFill>
              <w14:schemeClr w14:val="tx1"/>
            </w14:solidFill>
          </w14:textFill>
        </w:rPr>
        <w:t>Babesia bovis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_Toc23470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1836368">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_Toc21073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xml:space="preserve">2.3.2. </w:t>
      </w:r>
      <w:r>
        <w:rPr>
          <w:rFonts w:hint="default" w:ascii="Times New Roman" w:hAnsi="Times New Roman" w:cs="Times New Roman"/>
          <w:i/>
          <w:iCs/>
          <w:color w:val="000000" w:themeColor="text1"/>
          <w14:textFill>
            <w14:solidFill>
              <w14:schemeClr w14:val="tx1"/>
            </w14:solidFill>
          </w14:textFill>
        </w:rPr>
        <w:t>Babesia divergens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_Toc21073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E13149B">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_Toc17797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 xml:space="preserve">2.3.3. </w:t>
      </w:r>
      <w:r>
        <w:rPr>
          <w:rFonts w:hint="default" w:ascii="Times New Roman" w:hAnsi="Times New Roman" w:cs="Times New Roman"/>
          <w:i/>
          <w:iCs/>
          <w:color w:val="000000" w:themeColor="text1"/>
          <w:szCs w:val="28"/>
          <w14:textFill>
            <w14:solidFill>
              <w14:schemeClr w14:val="tx1"/>
            </w14:solidFill>
          </w14:textFill>
        </w:rPr>
        <w:t>Babesia bigemina</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_Toc17797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CF61FC1">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_Toc6844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 xml:space="preserve">2.3.4. </w:t>
      </w:r>
      <w:r>
        <w:rPr>
          <w:rFonts w:hint="default" w:ascii="Times New Roman" w:hAnsi="Times New Roman" w:cs="Times New Roman"/>
          <w:i/>
          <w:iCs/>
          <w:color w:val="000000" w:themeColor="text1"/>
          <w:szCs w:val="28"/>
          <w14:textFill>
            <w14:solidFill>
              <w14:schemeClr w14:val="tx1"/>
            </w14:solidFill>
          </w14:textFill>
        </w:rPr>
        <w:t>Babesia major</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_Toc6844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FA96A96">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_Toc12819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 xml:space="preserve">2.4. Cycle biologique de </w:t>
      </w:r>
      <w:r>
        <w:rPr>
          <w:rFonts w:hint="default" w:ascii="Times New Roman" w:hAnsi="Times New Roman" w:cs="Times New Roman"/>
          <w:i/>
          <w:iCs/>
          <w:color w:val="000000" w:themeColor="text1"/>
          <w:szCs w:val="28"/>
          <w14:textFill>
            <w14:solidFill>
              <w14:schemeClr w14:val="tx1"/>
            </w14:solidFill>
          </w14:textFill>
        </w:rPr>
        <w:t>Babesia spp</w:t>
      </w:r>
      <w:r>
        <w:rPr>
          <w:rFonts w:hint="default" w:ascii="Times New Roman" w:hAnsi="Times New Roman" w:cs="Times New Roman"/>
          <w:color w:val="000000" w:themeColor="text1"/>
          <w:szCs w:val="28"/>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_Toc12819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8</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C93426B">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_Toc31953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 xml:space="preserve">2.4.1. Cycle évolutif de </w:t>
      </w:r>
      <w:r>
        <w:rPr>
          <w:rFonts w:hint="default" w:ascii="Times New Roman" w:hAnsi="Times New Roman" w:cs="Times New Roman"/>
          <w:i/>
          <w:iCs/>
          <w:color w:val="000000" w:themeColor="text1"/>
          <w:szCs w:val="28"/>
          <w14:textFill>
            <w14:solidFill>
              <w14:schemeClr w14:val="tx1"/>
            </w14:solidFill>
          </w14:textFill>
        </w:rPr>
        <w:t>Babesia spp</w:t>
      </w:r>
      <w:r>
        <w:rPr>
          <w:rFonts w:hint="default" w:ascii="Times New Roman" w:hAnsi="Times New Roman" w:cs="Times New Roman"/>
          <w:color w:val="000000" w:themeColor="text1"/>
          <w:szCs w:val="28"/>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_Toc31953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8</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8D99EF7">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_Toc10558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2.4.2. Cycle biologique chez la tique (hôte définitif)</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_Toc10558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8</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4AB83C2">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_Toc305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2.4.3. Cycle biologique chez bovins (hôte intermédiaire)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8</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42A2E2E">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_Toc6165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3. ASPECTS CLINIQUES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_Toc6165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DA9FCA6">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_Toc5084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3.1. Forme aiguë</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_Toc5084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A5838FA">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_Toc18722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3.1.1. Syndrome pyrétique (fièvre)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_Toc18722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DFBDE56">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_Toc12720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3.1.2. Syndrome hémolytique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_Toc12720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1AA34AE">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_Toc6232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3.1.3. Signes digestifs et nerveux</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_Toc6232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4119814">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_Toc5916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3.1.4.  Évolution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_Toc5916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1554784">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_Toc1930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3.2. Forme chronique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_Toc1930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DD1C969">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_Toc8511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3.3. Forme atténuée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_Toc8511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5CEE422">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_Toc16273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4. DIAGNOSTIC</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_Toc16273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E61C88C">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_Toc23806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4.1. Diagnostic clinique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_Toc23806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3450445">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_Toc11132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4.2. Diagnostic de laboratoire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_Toc11132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33C87BE">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_Toc23520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4.2.1. Diagnostic direct</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_Toc23520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F0285A3">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_Toc1677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eastAsiaTheme="minorEastAsia"/>
          <w:color w:val="000000" w:themeColor="text1"/>
          <w:szCs w:val="28"/>
          <w14:textFill>
            <w14:solidFill>
              <w14:schemeClr w14:val="tx1"/>
            </w14:solidFill>
          </w14:textFill>
        </w:rPr>
        <w:t xml:space="preserve">4.2.2. Diagnostic indirect </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_Toc1677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CA75A2F">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_Toc25772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4.3. Diagnostic différenciel</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_Toc25772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52D7928">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_Toc15053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5. EPIDEMIOLOGIE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_Toc15053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D6E8D9B">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_Toc1568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5.1. Répartition géographique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_Toc1568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A758D9F">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_Toc7541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 Épidémiologie analytique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_Toc7541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EE25323">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_Toc1084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5.2.1. Source du parasite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_Toc1084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73099AA">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_Toc16264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5.2.2. Mode de transmission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_Toc16264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F26A44A">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_Toc7405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5.2.3. Réceptivité des bovins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_Toc7405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F709D1B">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_Toc31824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5.2.4. Facteurs favorisants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_Toc31824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85D2482">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_Toc18214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5.3. Épidémiologie synthétique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_Toc18214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0419AEA">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_Toc31892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5.3.1. Enzootie stable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_Toc31892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4001AC8">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_Toc26536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5.3.</w:t>
      </w:r>
      <w:r>
        <w:rPr>
          <w:rFonts w:hint="default" w:ascii="Times New Roman" w:hAnsi="Times New Roman" w:cs="Times New Roman"/>
          <w:color w:val="000000" w:themeColor="text1"/>
          <w:szCs w:val="28"/>
          <w:lang w:val="en-US"/>
          <w14:textFill>
            <w14:solidFill>
              <w14:schemeClr w14:val="tx1"/>
            </w14:solidFill>
          </w14:textFill>
        </w:rPr>
        <w:t>2.</w:t>
      </w:r>
      <w:r>
        <w:rPr>
          <w:rFonts w:hint="default" w:ascii="Times New Roman" w:hAnsi="Times New Roman" w:cs="Times New Roman"/>
          <w:color w:val="000000" w:themeColor="text1"/>
          <w:szCs w:val="28"/>
          <w14:textFill>
            <w14:solidFill>
              <w14:schemeClr w14:val="tx1"/>
            </w14:solidFill>
          </w14:textFill>
        </w:rPr>
        <w:t xml:space="preserve"> Enzootie instable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_Toc26536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DEEEFAC">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_Toc23753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6. TRAITEMENT ET PROPHYLAXIE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_Toc23753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37F38F7">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_Toc4348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6.1. Traitement</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_Toc4348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C38E39B">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_Toc21904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6.2. Vaccination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_Toc21904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ECEF571">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_Toc20603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xml:space="preserve">6.3. </w:t>
      </w:r>
      <w:r>
        <w:rPr>
          <w:rFonts w:hint="default" w:ascii="Times New Roman" w:hAnsi="Times New Roman" w:cs="Times New Roman"/>
          <w:color w:val="000000" w:themeColor="text1"/>
          <w:szCs w:val="28"/>
          <w14:textFill>
            <w14:solidFill>
              <w14:schemeClr w14:val="tx1"/>
            </w14:solidFill>
          </w14:textFill>
        </w:rPr>
        <w:t>Lutte anti-vectorielle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_Toc20603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269A9B7">
      <w:pPr>
        <w:pStyle w:val="9"/>
        <w:tabs>
          <w:tab w:val="right" w:pos="9070"/>
        </w:tabs>
        <w:ind w:left="0" w:leftChars="0" w:firstLine="3740" w:firstLineChars="1700"/>
        <w:jc w:val="left"/>
        <w:rPr>
          <w:rFonts w:hint="default" w:ascii="Times New Roman" w:hAnsi="Times New Roman" w:cs="Times New Roman"/>
          <w:b/>
          <w:bCs w:val="0"/>
          <w:i w:val="0"/>
          <w:iCs w:val="0"/>
          <w:color w:val="000000" w:themeColor="text1"/>
          <w:szCs w:val="28"/>
          <w:lang w:val="fr-FR"/>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_Toc306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lang w:val="fr-FR"/>
          <w14:textFill>
            <w14:solidFill>
              <w14:schemeClr w14:val="tx1"/>
            </w14:solidFill>
          </w14:textFill>
        </w:rPr>
        <w:t xml:space="preserve"> </w:t>
      </w:r>
      <w:r>
        <w:rPr>
          <w:rFonts w:hint="default" w:ascii="Times New Roman" w:hAnsi="Times New Roman" w:cs="Times New Roman"/>
          <w:b/>
          <w:bCs w:val="0"/>
          <w:i/>
          <w:iCs/>
          <w:color w:val="000000" w:themeColor="text1"/>
          <w:szCs w:val="28"/>
          <w:lang w:val="fr-FR"/>
          <w14:textFill>
            <w14:solidFill>
              <w14:schemeClr w14:val="tx1"/>
            </w14:solidFill>
          </w14:textFill>
        </w:rPr>
        <w:t>Chapitre Ⅱ</w:t>
      </w:r>
    </w:p>
    <w:p w14:paraId="789546B4">
      <w:pPr>
        <w:pStyle w:val="9"/>
        <w:tabs>
          <w:tab w:val="right" w:pos="9070"/>
        </w:tabs>
        <w:ind w:left="3091" w:leftChars="1400" w:hanging="11" w:hangingChars="5"/>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val="0"/>
          <w:i/>
          <w:iCs/>
          <w:color w:val="000000" w:themeColor="text1"/>
          <w:szCs w:val="28"/>
          <w:lang w:val="fr-FR"/>
          <w14:textFill>
            <w14:solidFill>
              <w14:schemeClr w14:val="tx1"/>
            </w14:solidFill>
          </w14:textFill>
        </w:rPr>
        <w:t>THEILERIOSE BOVINE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bCs/>
          <w:i/>
          <w:iCs/>
          <w:color w:val="000000" w:themeColor="text1"/>
          <w:szCs w:val="28"/>
          <w14:textFill>
            <w14:solidFill>
              <w14:schemeClr w14:val="tx1"/>
            </w14:solidFill>
          </w14:textFill>
        </w:rPr>
        <w:fldChar w:fldCharType="end"/>
      </w:r>
    </w:p>
    <w:p w14:paraId="66874ED8">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_Toc22613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 xml:space="preserve"> 1. GÉNERALITÉS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_Toc22613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7A29700">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_Toc28162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1.1. Définition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_Toc28162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CE3A395">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_Toc27850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1.2. Synonymes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_Toc27850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361097B">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_Toc17329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2.ÉTUDE DE PARASITE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_Toc17329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108DD19">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_Toc4275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2.1. Systématique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_Toc4275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62239C8">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_Toc1190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2.2. Morphologie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_Toc1190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D9A3F46">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_Toc18511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2.2.1. Formes schizogoniques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_Toc18511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336DAC2">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_Toc27849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eastAsiaTheme="minorEastAsia"/>
          <w:color w:val="000000" w:themeColor="text1"/>
          <w:szCs w:val="28"/>
          <w14:textFill>
            <w14:solidFill>
              <w14:schemeClr w14:val="tx1"/>
            </w14:solidFill>
          </w14:textFill>
        </w:rPr>
        <w:t xml:space="preserve">2.2.2. Formes intra-érythrocytaires </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_Toc27849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2C42710">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_Toc13671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2.3. Cycle évolutif</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_Toc13671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A7EAA84">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_Toc15963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2.3.1. Chez la tique vectrice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_Toc15963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230910B">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_Toc11458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2.3.2. Chez le bovin (hôte définitif)</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_Toc11458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1412D14">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_Toc6500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3. ASPECTS CLINIQUES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_Toc6500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EFAB942">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_Toc23878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3.1. Forme suraiguë</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_Toc23878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DCFBD4D">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_Toc18525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3.2. Forme aiguë</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_Toc18525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724FB6F">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_Toc7109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3.3. Forme atténuée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_Toc7109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3CFDEF5">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_Toc29750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4. DIAGNOSTIC</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_Toc29750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0BB506F">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_Toc213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4.1. Diagnostic clinique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_Toc213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9063E0C">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_Toc12120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4.2. Diagnostic de laboratoire </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_Toc12120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835FCED">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_Toc9244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4.2.1. Diagnostic direct</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_Toc9244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B04840C">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_Toc3222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4.2.2. Diagnostic indirect</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_Toc3222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28</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B084F0D">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_Toc26566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4.3. Diagnostic différentiel</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_Toc26566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45BC9F5">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_Toc7561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 xml:space="preserve">5. EPIDEMIOLOGIE </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_Toc7561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8EC3F87">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_Toc22205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lang w:val="en-GB"/>
          <w14:textFill>
            <w14:solidFill>
              <w14:schemeClr w14:val="tx1"/>
            </w14:solidFill>
          </w14:textFill>
        </w:rPr>
        <w:t>5.1. Repartition géographique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_Toc22205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172AA35">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_Toc19037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 Épidémiologie analytique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_Toc19037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BA55D6A">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_Toc17846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5.2.1. Sources du parasite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_Toc17846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8572197">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_Toc21956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5.2.2. Modes de transmission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_Toc21956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748014D">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_Toc11462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5.2.3. Réceptivité</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_Toc11462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0AF6AF3">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_Toc4981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5.2.4. Facteurs favorisants </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_Toc4981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226F6DE">
      <w:pPr>
        <w:pStyle w:val="11"/>
        <w:tabs>
          <w:tab w:val="right" w:pos="9070"/>
        </w:tabs>
        <w:ind w:left="440" w:leftChars="200"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_Toc26970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Cs/>
          <w:color w:val="000000" w:themeColor="text1"/>
          <w:szCs w:val="28"/>
          <w14:textFill>
            <w14:solidFill>
              <w14:schemeClr w14:val="tx1"/>
            </w14:solidFill>
          </w14:textFill>
        </w:rPr>
        <w:t>5.3. Épidémiologie descriptive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_Toc26970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9A8C49F">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_Toc20072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6. TRAITEMENT ET PRPHYLAXIE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_Toc20072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2569F8C">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_Toc23601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6.1. Traitement</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_Toc23601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13910ED">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_Toc8117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6.2. Prophylaxie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_Toc8117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193C343">
      <w:pPr>
        <w:pStyle w:val="9"/>
        <w:tabs>
          <w:tab w:val="right" w:pos="9070"/>
        </w:tabs>
        <w:ind w:left="0" w:leftChars="0" w:firstLine="3740" w:firstLineChars="17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_Toc20629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val="0"/>
          <w:i/>
          <w:iCs/>
          <w:color w:val="000000" w:themeColor="text1"/>
          <w:szCs w:val="28"/>
          <w:lang w:val="fr-FR"/>
          <w14:textFill>
            <w14:solidFill>
              <w14:schemeClr w14:val="tx1"/>
            </w14:solidFill>
          </w14:textFill>
        </w:rPr>
        <w:t>Chapitre Ⅲ</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bCs/>
          <w:i/>
          <w:iCs/>
          <w:color w:val="000000" w:themeColor="text1"/>
          <w:szCs w:val="28"/>
          <w14:textFill>
            <w14:solidFill>
              <w14:schemeClr w14:val="tx1"/>
            </w14:solidFill>
          </w14:textFill>
        </w:rPr>
        <w:fldChar w:fldCharType="end"/>
      </w:r>
    </w:p>
    <w:p w14:paraId="7DB30B5F">
      <w:pPr>
        <w:pStyle w:val="9"/>
        <w:tabs>
          <w:tab w:val="right" w:pos="9070"/>
        </w:tabs>
        <w:ind w:left="3080" w:leftChars="1400"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_Toc1330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val="0"/>
          <w:i/>
          <w:iCs/>
          <w:color w:val="000000" w:themeColor="text1"/>
          <w:szCs w:val="28"/>
          <w:lang w:val="fr-FR"/>
          <w14:textFill>
            <w14:solidFill>
              <w14:schemeClr w14:val="tx1"/>
            </w14:solidFill>
          </w14:textFill>
        </w:rPr>
        <w:t>ANAPLASMOSE BOVINE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bCs/>
          <w:i/>
          <w:iCs/>
          <w:color w:val="000000" w:themeColor="text1"/>
          <w:szCs w:val="28"/>
          <w14:textFill>
            <w14:solidFill>
              <w14:schemeClr w14:val="tx1"/>
            </w14:solidFill>
          </w14:textFill>
        </w:rPr>
        <w:fldChar w:fldCharType="end"/>
      </w:r>
    </w:p>
    <w:p w14:paraId="68DDE1D4">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_Toc24529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szCs w:val="32"/>
          <w:lang w:val="fr-FR"/>
          <w14:textFill>
            <w14:solidFill>
              <w14:schemeClr w14:val="tx1"/>
            </w14:solidFill>
          </w14:textFill>
        </w:rPr>
        <w:t xml:space="preserve"> </w:t>
      </w:r>
      <w:r>
        <w:rPr>
          <w:rFonts w:hint="default" w:ascii="Times New Roman" w:hAnsi="Times New Roman" w:cs="Times New Roman"/>
          <w:b/>
          <w:bCs/>
          <w:color w:val="000000" w:themeColor="text1"/>
          <w:lang w:val="fr-FR"/>
          <w14:textFill>
            <w14:solidFill>
              <w14:schemeClr w14:val="tx1"/>
            </w14:solidFill>
          </w14:textFill>
        </w:rPr>
        <w:t>1. GÉNERALITÉS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_Toc24529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7315F8E">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_Toc15359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1.1. Définition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_Toc15359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46CBA44">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_Toc692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2.ÉTUDE DE PARASITE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_Toc692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4786B19">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_Toc16656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2.1. Systématique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_Toc16656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C33576C">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_Toc14302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2.2. Morphologie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_Toc14302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38</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6A15A35">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_Toc2495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2.3. Cycle évolutif du parasite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_Toc2495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D00EA79">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_Toc19825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 2.3.1. Vecteurs de l’anaplasmose bovine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_Toc19825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7C6C22D">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_Toc462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2.3.2. Réservoirs de l’infection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_Toc462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804B63B">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_Toc9227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2.3.3. Le cycle de vie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_Toc9227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527AB76">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_Toc1309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3. ASPECT CLINIQUE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_Toc1309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DC0EB0C">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_Toc3983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4. DIAGNOSTIC</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_Toc3983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92EEA37">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_Toc28484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4.1. Diagnostic clinique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_Toc28484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D3C4F56">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_Toc20148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4.2. Diagnostic de laboratoire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_Toc20148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54061B1">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_Toc426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4.2.1. Diagnostic direct</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_Toc426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95FBBD6">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_Toc20010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4.2.2. Diagnostic indirect</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_Toc20010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7EF2127">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_Toc27889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4.3. Diagnostic différentiel</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_Toc27889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9D55F74">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_Toc9842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5. EPIDEMIOLOGIE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_Toc9842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71E6283">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_Toc4191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lang w:val="en-GB"/>
          <w14:textFill>
            <w14:solidFill>
              <w14:schemeClr w14:val="tx1"/>
            </w14:solidFill>
          </w14:textFill>
        </w:rPr>
        <w:t>5.1. Répartition géographique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_Toc4191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E222BB6">
      <w:pPr>
        <w:pStyle w:val="11"/>
        <w:tabs>
          <w:tab w:val="right" w:pos="9070"/>
        </w:tabs>
        <w:ind w:left="440" w:leftChars="200"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_Toc5856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5.2.Épidémiologie analytique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_Toc5856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1FFB0F6">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_Toc14495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5.2.1. Source de parasite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_Toc14495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D5F78EB">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_Toc30666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5.2.2. Mode de transmission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_Toc30666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EF9B7A9">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_Toc19905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5.2.3. Réceptivité</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_Toc19905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C2CCDD3">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_Toc20328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5.2.4. Facteurs favorisants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_Toc20328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8D8AF86">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_Toc17920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5.3.Épidémiologie descriptive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_Toc17920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0C6711F">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_Toc7426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6. TRAITEMENT ET PROPHYLAXIE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_Toc7426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146766B">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_Toc8013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6.1. Traitement</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_Toc8013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BB2D124">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_Toc12886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6.2. Prophylaxie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_Toc12886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48</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90F0950">
      <w:pPr>
        <w:pStyle w:val="9"/>
        <w:tabs>
          <w:tab w:val="right" w:pos="9070"/>
        </w:tabs>
        <w:ind w:left="0" w:leftChars="0" w:firstLine="3740" w:firstLineChars="1700"/>
        <w:jc w:val="left"/>
        <w:rPr>
          <w:rFonts w:hint="default" w:ascii="Times New Roman" w:hAnsi="Times New Roman" w:cs="Times New Roman"/>
          <w:b/>
          <w:bCs w:val="0"/>
          <w:i/>
          <w:iCs/>
          <w:color w:val="000000" w:themeColor="text1"/>
          <w:szCs w:val="28"/>
          <w:lang w:val="fr-FR"/>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_Toc27018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val="0"/>
          <w:i/>
          <w:iCs/>
          <w:color w:val="000000" w:themeColor="text1"/>
          <w:szCs w:val="28"/>
          <w:lang w:val="fr-FR"/>
          <w14:textFill>
            <w14:solidFill>
              <w14:schemeClr w14:val="tx1"/>
            </w14:solidFill>
          </w14:textFill>
        </w:rPr>
        <w:t>Chapitre Ⅳ</w:t>
      </w:r>
    </w:p>
    <w:p w14:paraId="416AB900">
      <w:pPr>
        <w:pStyle w:val="9"/>
        <w:tabs>
          <w:tab w:val="right" w:pos="9070"/>
        </w:tabs>
        <w:ind w:left="3080" w:leftChars="1400"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val="0"/>
          <w:i/>
          <w:iCs/>
          <w:color w:val="000000" w:themeColor="text1"/>
          <w:szCs w:val="28"/>
          <w:lang w:val="fr-FR"/>
          <w14:textFill>
            <w14:solidFill>
              <w14:schemeClr w14:val="tx1"/>
            </w14:solidFill>
          </w14:textFill>
        </w:rPr>
        <w:t>PARTIE EXPERIMENTALE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bCs/>
          <w:i/>
          <w:iCs/>
          <w:color w:val="000000" w:themeColor="text1"/>
          <w:szCs w:val="28"/>
          <w14:textFill>
            <w14:solidFill>
              <w14:schemeClr w14:val="tx1"/>
            </w14:solidFill>
          </w14:textFill>
        </w:rPr>
        <w:fldChar w:fldCharType="end"/>
      </w:r>
    </w:p>
    <w:p w14:paraId="24C86BDC">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_Toc23590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lang w:val="fr-FR"/>
          <w14:textFill>
            <w14:solidFill>
              <w14:schemeClr w14:val="tx1"/>
            </w14:solidFill>
          </w14:textFill>
        </w:rPr>
        <w:t>I</w:t>
      </w:r>
      <w:r>
        <w:rPr>
          <w:rFonts w:hint="default" w:ascii="Times New Roman" w:hAnsi="Times New Roman" w:cs="Times New Roman"/>
          <w:b/>
          <w:bCs/>
          <w:color w:val="000000" w:themeColor="text1"/>
          <w:lang w:val="fr-FR"/>
          <w14:textFill>
            <w14:solidFill>
              <w14:schemeClr w14:val="tx1"/>
            </w14:solidFill>
          </w14:textFill>
        </w:rPr>
        <w:t>ntroduction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_Toc23590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228BE85">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_Toc14428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1. OBJECTIF DE L’ETUDE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_Toc14428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96E0CD6">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_Toc20875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2. PRESENTATION DE LA REGION D’ETUDE SETIF</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_Toc20875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C999FB2">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_Toc24248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3. CARACTERISTIQUES CLIMATIQUES DE LA REGION D’ETUDE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_Toc24248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5E5FB15">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_Toc18042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3.1. Climat</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_Toc18042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9E93F48">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_Toc21768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3.1.1. Précipitation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_Toc21768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5BFEB24">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_Toc15568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3.1.2. Température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_Toc15568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0272390B">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_Toc23633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3.1.3. Humidité</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_Toc23633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3E687D3">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_Toc1461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4. CHOIX DES ANIMAUX D’ETUDE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_Toc1461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FD43E91">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_Toc3205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5. MATERIELS ET METHODES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_Toc3205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877089D">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_Toc24338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5.1. Matériel</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_Toc24338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D28C12C">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_Toc8862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5.1.1. Prélèvements sanguins sur terrain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_Toc8862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DABD1E3">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_Toc5579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5.1.2. Préparation et analyses des frottis au laboratoire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_Toc5579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3A0F85E9">
      <w:pPr>
        <w:pStyle w:val="10"/>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_Toc29827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szCs w:val="28"/>
          <w14:textFill>
            <w14:solidFill>
              <w14:schemeClr w14:val="tx1"/>
            </w14:solidFill>
          </w14:textFill>
        </w:rPr>
        <w:t>5.2. Méthodes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_Toc29827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43B74664">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_Toc6801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5.2.1. Collectes des prélèvements et réalisation du frottis sanguins </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_Toc6801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26EAC0B">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_Toc24822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5.2.2. Réalisation du frottis sanguins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_Toc24822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372DC37">
      <w:pPr>
        <w:pStyle w:val="11"/>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_Toc1058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5.2.3. Protocole de coloration des frottis sanguins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_Toc1058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761E5F7">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_Toc13887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lang w:val="fr-FR"/>
          <w14:textFill>
            <w14:solidFill>
              <w14:schemeClr w14:val="tx1"/>
            </w14:solidFill>
          </w14:textFill>
        </w:rPr>
        <w:t>1. Evaluation de la prévalence de l’infection par les hémoparasites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_Toc13887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62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699606C">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_Toc32140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lang w:val="fr-FR"/>
          <w14:textFill>
            <w14:solidFill>
              <w14:schemeClr w14:val="tx1"/>
            </w14:solidFill>
          </w14:textFill>
        </w:rPr>
        <w:t>2. Résultats parasitologiques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_Toc32140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62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64862AF">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_Toc5164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lang w:val="fr-FR"/>
          <w14:textFill>
            <w14:solidFill>
              <w14:schemeClr w14:val="tx1"/>
            </w14:solidFill>
          </w14:textFill>
        </w:rPr>
        <w:t>3. Comparaison entre les cas simples et les cas double</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_Toc5164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63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709CB0E2">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_Toc14947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color w:val="000000" w:themeColor="text1"/>
          <w:lang w:val="fr-FR"/>
          <w14:textFill>
            <w14:solidFill>
              <w14:schemeClr w14:val="tx1"/>
            </w14:solidFill>
          </w14:textFill>
        </w:rPr>
        <w:t>4. Comparaison du taux de leucocyte entre les sujets infectés et non infectés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_Toc14947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65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1F34D17D">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_Toc16229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DISCUSSION</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_Toc16229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522F64AA">
      <w:pPr>
        <w:pStyle w:val="9"/>
        <w:tabs>
          <w:tab w:val="right" w:pos="9070"/>
        </w:tabs>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_Toc27759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 xml:space="preserve">CONCLUSION </w:t>
      </w:r>
      <w:r>
        <w:rPr>
          <w:rFonts w:hint="default" w:ascii="Times New Roman" w:hAnsi="Times New Roman" w:cs="Times New Roman" w:eastAsiaTheme="minorEastAsia"/>
          <w:b/>
          <w:bCs/>
          <w:color w:val="000000" w:themeColor="text1"/>
          <w:szCs w:val="24"/>
          <w:lang w:val="fr-FR"/>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_Toc27759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24F90DB3">
      <w:pPr>
        <w:pStyle w:val="9"/>
        <w:tabs>
          <w:tab w:val="right" w:pos="9070"/>
        </w:tabs>
        <w:jc w:val="left"/>
        <w:rPr>
          <w:color w:val="000000" w:themeColor="text1"/>
          <w14:textFill>
            <w14:solidFill>
              <w14:schemeClr w14:val="tx1"/>
            </w14:solidFill>
          </w14:textFill>
        </w:rPr>
      </w:pPr>
      <w:r>
        <w:rPr>
          <w:rFonts w:hint="default" w:ascii="Times New Roman" w:hAnsi="Times New Roman" w:cs="Times New Roman"/>
          <w:bCs/>
          <w:i/>
          <w:iCs/>
          <w:color w:val="000000" w:themeColor="text1"/>
          <w:szCs w:val="28"/>
          <w14:textFill>
            <w14:solidFill>
              <w14:schemeClr w14:val="tx1"/>
            </w14:solidFill>
          </w14:textFill>
        </w:rPr>
        <w:fldChar w:fldCharType="begin"/>
      </w:r>
      <w:r>
        <w:rPr>
          <w:rFonts w:hint="default" w:ascii="Times New Roman" w:hAnsi="Times New Roman" w:cs="Times New Roman"/>
          <w:bCs/>
          <w:i/>
          <w:iCs/>
          <w:color w:val="000000" w:themeColor="text1"/>
          <w:szCs w:val="28"/>
          <w14:textFill>
            <w14:solidFill>
              <w14:schemeClr w14:val="tx1"/>
            </w14:solidFill>
          </w14:textFill>
        </w:rPr>
        <w:instrText xml:space="preserve"> HYPERLINK \l _Toc22193 </w:instrText>
      </w:r>
      <w:r>
        <w:rPr>
          <w:rFonts w:hint="default" w:ascii="Times New Roman" w:hAnsi="Times New Roman" w:cs="Times New Roman"/>
          <w:bCs/>
          <w:i/>
          <w:iCs/>
          <w:color w:val="000000" w:themeColor="text1"/>
          <w:szCs w:val="28"/>
          <w14:textFill>
            <w14:solidFill>
              <w14:schemeClr w14:val="tx1"/>
            </w14:solidFill>
          </w14:textFill>
        </w:rPr>
        <w:fldChar w:fldCharType="separate"/>
      </w:r>
      <w:r>
        <w:rPr>
          <w:rFonts w:hint="default" w:ascii="Times New Roman" w:hAnsi="Times New Roman" w:cs="Times New Roman"/>
          <w:b/>
          <w:bCs/>
          <w:color w:val="000000" w:themeColor="text1"/>
          <w:lang w:val="fr-FR"/>
          <w14:textFill>
            <w14:solidFill>
              <w14:schemeClr w14:val="tx1"/>
            </w14:solidFill>
          </w14:textFill>
        </w:rPr>
        <w:t>Références</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_Toc22193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bCs/>
          <w:i/>
          <w:iCs/>
          <w:color w:val="000000" w:themeColor="text1"/>
          <w:szCs w:val="28"/>
          <w14:textFill>
            <w14:solidFill>
              <w14:schemeClr w14:val="tx1"/>
            </w14:solidFill>
          </w14:textFill>
        </w:rPr>
        <w:fldChar w:fldCharType="end"/>
      </w:r>
    </w:p>
    <w:p w14:paraId="6B1742F0">
      <w:pPr>
        <w:spacing w:after="0" w:line="360" w:lineRule="auto"/>
        <w:rPr>
          <w:rFonts w:asciiTheme="majorBidi" w:hAnsiTheme="majorBidi" w:cstheme="majorBidi"/>
          <w:bCs/>
          <w:i/>
          <w:iCs/>
          <w:color w:val="000000" w:themeColor="text1"/>
          <w:szCs w:val="28"/>
          <w14:textFill>
            <w14:solidFill>
              <w14:schemeClr w14:val="tx1"/>
            </w14:solidFill>
          </w14:textFill>
        </w:rPr>
      </w:pPr>
      <w:r>
        <w:rPr>
          <w:rFonts w:asciiTheme="majorBidi" w:hAnsiTheme="majorBidi" w:cstheme="majorBidi"/>
          <w:bCs/>
          <w:i/>
          <w:iCs/>
          <w:color w:val="000000" w:themeColor="text1"/>
          <w:szCs w:val="28"/>
          <w14:textFill>
            <w14:solidFill>
              <w14:schemeClr w14:val="tx1"/>
            </w14:solidFill>
          </w14:textFill>
        </w:rPr>
        <w:fldChar w:fldCharType="end"/>
      </w:r>
    </w:p>
    <w:p w14:paraId="0BFBDDF3">
      <w:pPr>
        <w:spacing w:after="0" w:line="360" w:lineRule="auto"/>
        <w:rPr>
          <w:rFonts w:asciiTheme="majorBidi" w:hAnsiTheme="majorBidi" w:cstheme="majorBidi"/>
          <w:bCs/>
          <w:i/>
          <w:iCs/>
          <w:color w:val="000000" w:themeColor="text1"/>
          <w:szCs w:val="28"/>
          <w14:textFill>
            <w14:solidFill>
              <w14:schemeClr w14:val="tx1"/>
            </w14:solidFill>
          </w14:textFill>
        </w:rPr>
      </w:pPr>
    </w:p>
    <w:p w14:paraId="11700BE9">
      <w:pPr>
        <w:spacing w:after="0" w:line="360" w:lineRule="auto"/>
        <w:rPr>
          <w:rFonts w:asciiTheme="majorBidi" w:hAnsiTheme="majorBidi" w:cstheme="majorBidi"/>
          <w:bCs/>
          <w:i/>
          <w:iCs/>
          <w:color w:val="000000" w:themeColor="text1"/>
          <w:szCs w:val="28"/>
          <w14:textFill>
            <w14:solidFill>
              <w14:schemeClr w14:val="tx1"/>
            </w14:solidFill>
          </w14:textFill>
        </w:rPr>
      </w:pPr>
    </w:p>
    <w:p w14:paraId="1824496F">
      <w:pPr>
        <w:spacing w:after="0" w:line="360" w:lineRule="auto"/>
        <w:rPr>
          <w:rFonts w:asciiTheme="majorBidi" w:hAnsiTheme="majorBidi" w:cstheme="majorBidi"/>
          <w:bCs/>
          <w:i/>
          <w:iCs/>
          <w:color w:val="000000" w:themeColor="text1"/>
          <w:szCs w:val="28"/>
          <w14:textFill>
            <w14:solidFill>
              <w14:schemeClr w14:val="tx1"/>
            </w14:solidFill>
          </w14:textFill>
        </w:rPr>
      </w:pPr>
    </w:p>
    <w:p w14:paraId="6152EE2A">
      <w:pPr>
        <w:spacing w:after="0" w:line="360" w:lineRule="auto"/>
        <w:rPr>
          <w:rFonts w:asciiTheme="majorBidi" w:hAnsiTheme="majorBidi" w:cstheme="majorBidi"/>
          <w:bCs/>
          <w:i/>
          <w:iCs/>
          <w:color w:val="000000" w:themeColor="text1"/>
          <w:szCs w:val="28"/>
          <w14:textFill>
            <w14:solidFill>
              <w14:schemeClr w14:val="tx1"/>
            </w14:solidFill>
          </w14:textFill>
        </w:rPr>
      </w:pPr>
    </w:p>
    <w:p w14:paraId="020FEEFD">
      <w:pPr>
        <w:spacing w:after="0" w:line="360" w:lineRule="auto"/>
        <w:rPr>
          <w:rFonts w:asciiTheme="majorBidi" w:hAnsiTheme="majorBidi" w:cstheme="majorBidi"/>
          <w:bCs/>
          <w:i/>
          <w:iCs/>
          <w:color w:val="000000" w:themeColor="text1"/>
          <w:szCs w:val="28"/>
          <w14:textFill>
            <w14:solidFill>
              <w14:schemeClr w14:val="tx1"/>
            </w14:solidFill>
          </w14:textFill>
        </w:rPr>
      </w:pPr>
    </w:p>
    <w:p w14:paraId="4F9E7594">
      <w:pPr>
        <w:spacing w:after="0" w:line="360" w:lineRule="auto"/>
        <w:rPr>
          <w:rFonts w:asciiTheme="majorBidi" w:hAnsiTheme="majorBidi" w:cstheme="majorBidi"/>
          <w:bCs/>
          <w:i/>
          <w:iCs/>
          <w:color w:val="000000" w:themeColor="text1"/>
          <w:szCs w:val="28"/>
          <w14:textFill>
            <w14:solidFill>
              <w14:schemeClr w14:val="tx1"/>
            </w14:solidFill>
          </w14:textFill>
        </w:rPr>
      </w:pPr>
    </w:p>
    <w:p w14:paraId="79D51858">
      <w:pPr>
        <w:spacing w:after="0" w:line="360" w:lineRule="auto"/>
        <w:rPr>
          <w:rFonts w:asciiTheme="majorBidi" w:hAnsiTheme="majorBidi" w:cstheme="majorBidi"/>
          <w:bCs/>
          <w:i/>
          <w:iCs/>
          <w:color w:val="000000" w:themeColor="text1"/>
          <w:szCs w:val="28"/>
          <w14:textFill>
            <w14:solidFill>
              <w14:schemeClr w14:val="tx1"/>
            </w14:solidFill>
          </w14:textFill>
        </w:rPr>
      </w:pPr>
    </w:p>
    <w:p w14:paraId="18511EBF">
      <w:pPr>
        <w:spacing w:after="0" w:line="360" w:lineRule="auto"/>
        <w:rPr>
          <w:rFonts w:asciiTheme="majorBidi" w:hAnsiTheme="majorBidi" w:cstheme="majorBidi"/>
          <w:bCs/>
          <w:i/>
          <w:iCs/>
          <w:color w:val="000000" w:themeColor="text1"/>
          <w:szCs w:val="28"/>
          <w14:textFill>
            <w14:solidFill>
              <w14:schemeClr w14:val="tx1"/>
            </w14:solidFill>
          </w14:textFill>
        </w:rPr>
      </w:pPr>
    </w:p>
    <w:p w14:paraId="5ADD0C10">
      <w:pPr>
        <w:spacing w:after="0" w:line="360" w:lineRule="auto"/>
        <w:rPr>
          <w:rFonts w:asciiTheme="majorBidi" w:hAnsiTheme="majorBidi" w:cstheme="majorBidi"/>
          <w:bCs/>
          <w:i/>
          <w:iCs/>
          <w:color w:val="000000" w:themeColor="text1"/>
          <w:szCs w:val="28"/>
          <w14:textFill>
            <w14:solidFill>
              <w14:schemeClr w14:val="tx1"/>
            </w14:solidFill>
          </w14:textFill>
        </w:rPr>
      </w:pPr>
    </w:p>
    <w:p w14:paraId="1E13CC76">
      <w:pPr>
        <w:spacing w:after="0" w:line="360" w:lineRule="auto"/>
        <w:rPr>
          <w:rFonts w:asciiTheme="majorBidi" w:hAnsiTheme="majorBidi"/>
          <w:b/>
          <w:bCs/>
          <w:sz w:val="24"/>
          <w:szCs w:val="24"/>
          <w:lang w:val="fr-FR"/>
        </w:rPr>
      </w:pPr>
      <w:r>
        <w:rPr>
          <w:rFonts w:asciiTheme="majorBidi" w:hAnsiTheme="majorBidi" w:cstheme="majorBidi"/>
          <w:b/>
          <w:bCs/>
          <w:sz w:val="28"/>
          <w:szCs w:val="28"/>
          <w:lang w:val="fr-FR"/>
        </w:rPr>
        <w:t>Résumé</w:t>
      </w:r>
      <w:r>
        <w:rPr>
          <w:rFonts w:asciiTheme="majorBidi" w:hAnsiTheme="majorBidi" w:cstheme="majorBidi"/>
          <w:b/>
          <w:bCs/>
          <w:sz w:val="36"/>
          <w:szCs w:val="36"/>
          <w:lang w:val="fr-FR"/>
        </w:rPr>
        <w:br w:type="textWrapping"/>
      </w:r>
    </w:p>
    <w:p w14:paraId="6BB92F62">
      <w:pPr>
        <w:spacing w:before="120" w:after="120" w:line="360" w:lineRule="auto"/>
        <w:ind w:firstLine="567"/>
        <w:jc w:val="both"/>
        <w:rPr>
          <w:rFonts w:asciiTheme="majorBidi" w:hAnsiTheme="majorBidi"/>
          <w:sz w:val="24"/>
          <w:szCs w:val="24"/>
          <w:lang w:val="fr-FR"/>
        </w:rPr>
      </w:pPr>
      <w:r>
        <w:rPr>
          <w:rFonts w:asciiTheme="majorBidi" w:hAnsiTheme="majorBidi"/>
          <w:sz w:val="24"/>
          <w:szCs w:val="24"/>
          <w:lang w:val="fr-FR"/>
        </w:rPr>
        <w:t xml:space="preserve">Ce mémoire s’inscrit dans le cadre de l’étude des hémoparasitoses bovines asymptomatiques dans la région de Sétif (Algérie). Il vise à identifier la prévalence des infections par </w:t>
      </w:r>
      <w:r>
        <w:rPr>
          <w:rFonts w:asciiTheme="majorBidi" w:hAnsiTheme="majorBidi"/>
          <w:i/>
          <w:iCs/>
          <w:sz w:val="24"/>
          <w:szCs w:val="24"/>
          <w:lang w:val="fr-FR"/>
        </w:rPr>
        <w:t>Babesia</w:t>
      </w:r>
      <w:r>
        <w:rPr>
          <w:rFonts w:asciiTheme="majorBidi" w:hAnsiTheme="majorBidi"/>
          <w:sz w:val="24"/>
          <w:szCs w:val="24"/>
          <w:lang w:val="fr-FR"/>
        </w:rPr>
        <w:t xml:space="preserve">, </w:t>
      </w:r>
      <w:r>
        <w:rPr>
          <w:rFonts w:asciiTheme="majorBidi" w:hAnsiTheme="majorBidi"/>
          <w:i/>
          <w:iCs/>
          <w:sz w:val="24"/>
          <w:szCs w:val="24"/>
          <w:lang w:val="fr-FR"/>
        </w:rPr>
        <w:t>Theileria</w:t>
      </w:r>
      <w:r>
        <w:rPr>
          <w:rFonts w:asciiTheme="majorBidi" w:hAnsiTheme="majorBidi"/>
          <w:sz w:val="24"/>
          <w:szCs w:val="24"/>
          <w:lang w:val="fr-FR"/>
        </w:rPr>
        <w:t xml:space="preserve"> et </w:t>
      </w:r>
      <w:r>
        <w:rPr>
          <w:rFonts w:asciiTheme="majorBidi" w:hAnsiTheme="majorBidi"/>
          <w:i/>
          <w:iCs/>
          <w:sz w:val="24"/>
          <w:szCs w:val="24"/>
          <w:lang w:val="fr-FR"/>
        </w:rPr>
        <w:t>Anaplasma</w:t>
      </w:r>
      <w:r>
        <w:rPr>
          <w:rFonts w:asciiTheme="majorBidi" w:hAnsiTheme="majorBidi"/>
          <w:sz w:val="24"/>
          <w:szCs w:val="24"/>
          <w:lang w:val="fr-FR"/>
        </w:rPr>
        <w:t xml:space="preserve"> chez les bovins apparemment sains. Un total de 80 échantillons sanguins a été collecté et analysé par frottis sanguin coloré au Giemsa. Les résultats ont révélé une nette prédominance des infections simples par rapport aux co-infections.</w:t>
      </w:r>
    </w:p>
    <w:p w14:paraId="3A5BA67B">
      <w:pPr>
        <w:spacing w:before="120" w:after="120" w:line="360" w:lineRule="auto"/>
        <w:ind w:firstLine="567"/>
        <w:jc w:val="both"/>
        <w:rPr>
          <w:rFonts w:asciiTheme="majorBidi" w:hAnsiTheme="majorBidi"/>
          <w:sz w:val="24"/>
          <w:szCs w:val="24"/>
          <w:lang w:val="fr-FR"/>
        </w:rPr>
      </w:pPr>
      <w:r>
        <w:rPr>
          <w:rFonts w:asciiTheme="majorBidi" w:hAnsiTheme="majorBidi"/>
          <w:sz w:val="24"/>
          <w:szCs w:val="24"/>
          <w:lang w:val="fr-FR"/>
        </w:rPr>
        <w:t>L’étude a également mis en évidence des variations significatives du taux de leucocytes entre les sujets infectés et non infectés.</w:t>
      </w:r>
    </w:p>
    <w:p w14:paraId="690E9B77">
      <w:pPr>
        <w:spacing w:before="120" w:after="120" w:line="360" w:lineRule="auto"/>
        <w:jc w:val="both"/>
        <w:rPr>
          <w:rFonts w:asciiTheme="majorBidi" w:hAnsiTheme="majorBidi"/>
          <w:sz w:val="24"/>
          <w:szCs w:val="24"/>
          <w:lang w:val="fr-FR"/>
        </w:rPr>
      </w:pPr>
      <w:r>
        <w:rPr>
          <w:rFonts w:asciiTheme="majorBidi" w:hAnsiTheme="majorBidi"/>
          <w:sz w:val="24"/>
          <w:szCs w:val="24"/>
          <w:lang w:val="fr-FR"/>
        </w:rPr>
        <w:t>L’identification de ces agents pathogènes est essentielle pour améliorer la prise en charge vétérinaire et prévenir les pertes économiques. Ce travail contribue également à combler le manque de données locales sur la circulation silencieuse des hémoparasites chez les bovins en Algérie. Ces résultats soulignent l’importance des formes asymptomatiques dans l’épidémiologie des hémoparasites bovins et la nécessité de renforcer les stratégies de dépistage.</w:t>
      </w:r>
    </w:p>
    <w:p w14:paraId="706F1BD0">
      <w:pPr>
        <w:spacing w:before="120" w:after="120" w:line="360" w:lineRule="auto"/>
        <w:jc w:val="both"/>
        <w:rPr>
          <w:rFonts w:asciiTheme="majorBidi" w:hAnsiTheme="majorBidi"/>
          <w:sz w:val="24"/>
          <w:szCs w:val="24"/>
          <w:lang w:val="fr-FR"/>
        </w:rPr>
      </w:pPr>
    </w:p>
    <w:p w14:paraId="718AF6DE">
      <w:pPr>
        <w:spacing w:before="120" w:after="120" w:line="360" w:lineRule="auto"/>
        <w:ind w:firstLine="567"/>
        <w:jc w:val="both"/>
        <w:rPr>
          <w:rFonts w:asciiTheme="majorBidi" w:hAnsiTheme="majorBidi"/>
          <w:sz w:val="24"/>
          <w:szCs w:val="24"/>
          <w:lang w:val="fr-FR"/>
        </w:rPr>
      </w:pPr>
      <w:r>
        <w:rPr>
          <w:rFonts w:asciiTheme="majorBidi" w:hAnsiTheme="majorBidi"/>
          <w:b/>
          <w:bCs/>
          <w:sz w:val="24"/>
          <w:szCs w:val="24"/>
          <w:lang w:val="fr-FR"/>
        </w:rPr>
        <w:t>Mots-clés</w:t>
      </w:r>
      <w:r>
        <w:rPr>
          <w:rFonts w:asciiTheme="majorBidi" w:hAnsiTheme="majorBidi"/>
          <w:sz w:val="24"/>
          <w:szCs w:val="24"/>
          <w:lang w:val="fr-FR"/>
        </w:rPr>
        <w:t xml:space="preserve"> : </w:t>
      </w:r>
      <w:r>
        <w:rPr>
          <w:rFonts w:asciiTheme="majorBidi" w:hAnsiTheme="majorBidi"/>
          <w:i/>
          <w:iCs/>
          <w:sz w:val="24"/>
          <w:szCs w:val="24"/>
          <w:lang w:val="fr-FR"/>
        </w:rPr>
        <w:t>Babesia</w:t>
      </w:r>
      <w:r>
        <w:rPr>
          <w:rFonts w:asciiTheme="majorBidi" w:hAnsiTheme="majorBidi"/>
          <w:sz w:val="24"/>
          <w:szCs w:val="24"/>
          <w:lang w:val="fr-FR"/>
        </w:rPr>
        <w:t xml:space="preserve">, </w:t>
      </w:r>
      <w:r>
        <w:rPr>
          <w:rFonts w:asciiTheme="majorBidi" w:hAnsiTheme="majorBidi"/>
          <w:i/>
          <w:iCs/>
          <w:sz w:val="24"/>
          <w:szCs w:val="24"/>
          <w:lang w:val="fr-FR"/>
        </w:rPr>
        <w:t>Theileria</w:t>
      </w:r>
      <w:r>
        <w:rPr>
          <w:rFonts w:asciiTheme="majorBidi" w:hAnsiTheme="majorBidi"/>
          <w:sz w:val="24"/>
          <w:szCs w:val="24"/>
          <w:lang w:val="fr-FR"/>
        </w:rPr>
        <w:t xml:space="preserve">, </w:t>
      </w:r>
      <w:r>
        <w:rPr>
          <w:rFonts w:asciiTheme="majorBidi" w:hAnsiTheme="majorBidi"/>
          <w:i/>
          <w:iCs/>
          <w:sz w:val="24"/>
          <w:szCs w:val="24"/>
          <w:lang w:val="fr-FR"/>
        </w:rPr>
        <w:t>Anaplasma</w:t>
      </w:r>
      <w:r>
        <w:rPr>
          <w:rFonts w:asciiTheme="majorBidi" w:hAnsiTheme="majorBidi"/>
          <w:sz w:val="24"/>
          <w:szCs w:val="24"/>
          <w:lang w:val="fr-FR"/>
        </w:rPr>
        <w:t>, bovins, infections asymptomatiques, frottis sanguin, hémoparasitose, Sétif.</w:t>
      </w:r>
    </w:p>
    <w:p w14:paraId="6984472B">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751F5B45">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3C0D6B25">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259F2314">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73D6B910">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7619E969">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3E7E6ED3">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4CE54220">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22932D25">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5AB24A31">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297309CD">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56AAE086">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49612F1B">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3786E6EE">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4C9A275E">
      <w:pPr>
        <w:spacing w:before="120" w:after="120" w:line="360" w:lineRule="auto"/>
        <w:jc w:val="both"/>
        <w:rPr>
          <w:rFonts w:asciiTheme="majorBidi" w:hAnsiTheme="majorBidi"/>
          <w:sz w:val="24"/>
          <w:szCs w:val="24"/>
        </w:rPr>
      </w:pPr>
      <w:r>
        <w:rPr>
          <w:rFonts w:asciiTheme="majorBidi" w:hAnsiTheme="majorBidi"/>
          <w:b/>
          <w:bCs/>
          <w:sz w:val="28"/>
          <w:szCs w:val="28"/>
        </w:rPr>
        <w:t xml:space="preserve">Abstract </w:t>
      </w:r>
    </w:p>
    <w:p w14:paraId="50E515E4">
      <w:pPr>
        <w:spacing w:before="120" w:after="120" w:line="360" w:lineRule="auto"/>
        <w:ind w:firstLine="567"/>
        <w:jc w:val="both"/>
        <w:rPr>
          <w:rFonts w:asciiTheme="majorBidi" w:hAnsiTheme="majorBidi"/>
          <w:sz w:val="24"/>
          <w:szCs w:val="24"/>
        </w:rPr>
      </w:pPr>
      <w:r>
        <w:rPr>
          <w:rFonts w:asciiTheme="majorBidi" w:hAnsiTheme="majorBidi"/>
          <w:sz w:val="24"/>
          <w:szCs w:val="24"/>
        </w:rPr>
        <w:t>This study focuses on asymptomatic bovine hemoparasitoses in the region of Sétif (Algeria). Its main objective is to assess the prevalence of Babesia, Theileria, and Anaplasma infections in apparently healthy cattle. A total of 80 blood samples were collected and analyzed using Giemsa-stained blood smears. The results revealed a clear predominance of single infections over co-infections. Significant differences in leukocyte counts were observed between infected and non-infected subjects.</w:t>
      </w:r>
    </w:p>
    <w:p w14:paraId="7F85B65F">
      <w:pPr>
        <w:spacing w:before="120" w:after="120" w:line="360" w:lineRule="auto"/>
        <w:jc w:val="both"/>
        <w:rPr>
          <w:rFonts w:asciiTheme="majorBidi" w:hAnsiTheme="majorBidi"/>
          <w:sz w:val="24"/>
          <w:szCs w:val="24"/>
        </w:rPr>
      </w:pPr>
    </w:p>
    <w:p w14:paraId="47B265F4">
      <w:pPr>
        <w:spacing w:before="120" w:after="120" w:line="360" w:lineRule="auto"/>
        <w:ind w:firstLine="567"/>
        <w:jc w:val="both"/>
        <w:rPr>
          <w:rFonts w:asciiTheme="majorBidi" w:hAnsiTheme="majorBidi"/>
          <w:sz w:val="24"/>
          <w:szCs w:val="24"/>
        </w:rPr>
      </w:pPr>
      <w:r>
        <w:rPr>
          <w:rFonts w:asciiTheme="majorBidi" w:hAnsiTheme="majorBidi"/>
          <w:sz w:val="24"/>
          <w:szCs w:val="24"/>
        </w:rPr>
        <w:t>Identifying these pathogens is essential to improve veterinary care and reduce economic losses in cattle farming. This research also contributes to addressing the lack of local data on the silent spread of hemoparasites in Algeria. These findings highlight the epidemiological importance of subclinical cases and emphasize the need to improve screening and monitoring strategies.</w:t>
      </w:r>
    </w:p>
    <w:p w14:paraId="21FE1CD5">
      <w:pPr>
        <w:spacing w:before="120" w:after="120" w:line="360" w:lineRule="auto"/>
        <w:jc w:val="both"/>
        <w:rPr>
          <w:rFonts w:asciiTheme="majorBidi" w:hAnsiTheme="majorBidi"/>
          <w:sz w:val="24"/>
          <w:szCs w:val="24"/>
        </w:rPr>
      </w:pPr>
    </w:p>
    <w:p w14:paraId="2CA4CD07">
      <w:pPr>
        <w:spacing w:before="120" w:after="120" w:line="360" w:lineRule="auto"/>
        <w:ind w:firstLine="567"/>
        <w:jc w:val="both"/>
        <w:rPr>
          <w:rFonts w:asciiTheme="majorBidi" w:hAnsiTheme="majorBidi"/>
          <w:sz w:val="24"/>
          <w:szCs w:val="24"/>
        </w:rPr>
      </w:pPr>
      <w:r>
        <w:rPr>
          <w:rFonts w:asciiTheme="majorBidi" w:hAnsiTheme="majorBidi"/>
          <w:b/>
          <w:bCs/>
          <w:sz w:val="24"/>
          <w:szCs w:val="24"/>
        </w:rPr>
        <w:t>Keywords</w:t>
      </w:r>
      <w:r>
        <w:rPr>
          <w:rFonts w:asciiTheme="majorBidi" w:hAnsiTheme="majorBidi"/>
          <w:sz w:val="24"/>
          <w:szCs w:val="24"/>
        </w:rPr>
        <w:t>: Babesia, Theileria, Anaplasma, cattle, asymptomatic infections, blood smear, hemoparasites, Sétif.</w:t>
      </w:r>
    </w:p>
    <w:p w14:paraId="27DFDD82">
      <w:pPr>
        <w:spacing w:before="120" w:after="120" w:line="360" w:lineRule="auto"/>
        <w:ind w:firstLine="567"/>
        <w:jc w:val="both"/>
        <w:rPr>
          <w:rFonts w:asciiTheme="majorBidi" w:hAnsiTheme="majorBidi"/>
          <w:sz w:val="24"/>
          <w:szCs w:val="24"/>
        </w:rPr>
      </w:pPr>
    </w:p>
    <w:p w14:paraId="2675D64D">
      <w:pPr>
        <w:spacing w:before="120" w:after="120" w:line="360" w:lineRule="auto"/>
        <w:ind w:firstLine="567"/>
        <w:jc w:val="both"/>
        <w:rPr>
          <w:rFonts w:asciiTheme="majorBidi" w:hAnsiTheme="majorBidi"/>
          <w:sz w:val="24"/>
          <w:szCs w:val="24"/>
        </w:rPr>
      </w:pPr>
    </w:p>
    <w:p w14:paraId="6A383A4D">
      <w:pPr>
        <w:spacing w:before="120" w:after="120" w:line="360" w:lineRule="auto"/>
        <w:ind w:firstLine="567"/>
        <w:jc w:val="both"/>
        <w:rPr>
          <w:rFonts w:asciiTheme="majorBidi" w:hAnsiTheme="majorBidi"/>
          <w:sz w:val="24"/>
          <w:szCs w:val="24"/>
        </w:rPr>
      </w:pPr>
    </w:p>
    <w:p w14:paraId="2F0B3FF8">
      <w:pPr>
        <w:spacing w:before="120" w:after="120" w:line="360" w:lineRule="auto"/>
        <w:ind w:firstLine="567"/>
        <w:jc w:val="both"/>
        <w:rPr>
          <w:rFonts w:asciiTheme="majorBidi" w:hAnsiTheme="majorBidi"/>
          <w:sz w:val="24"/>
          <w:szCs w:val="24"/>
        </w:rPr>
      </w:pPr>
    </w:p>
    <w:p w14:paraId="6E8D4856">
      <w:pPr>
        <w:spacing w:before="120" w:after="120" w:line="360" w:lineRule="auto"/>
        <w:ind w:firstLine="567"/>
        <w:jc w:val="both"/>
        <w:rPr>
          <w:rFonts w:asciiTheme="majorBidi" w:hAnsiTheme="majorBidi"/>
          <w:sz w:val="24"/>
          <w:szCs w:val="24"/>
        </w:rPr>
      </w:pPr>
    </w:p>
    <w:p w14:paraId="5A6BF393">
      <w:pPr>
        <w:spacing w:before="120" w:after="120" w:line="360" w:lineRule="auto"/>
        <w:ind w:firstLine="567"/>
        <w:jc w:val="both"/>
        <w:rPr>
          <w:rFonts w:asciiTheme="majorBidi" w:hAnsiTheme="majorBidi"/>
          <w:sz w:val="24"/>
          <w:szCs w:val="24"/>
        </w:rPr>
      </w:pPr>
    </w:p>
    <w:p w14:paraId="0EB64285">
      <w:pPr>
        <w:spacing w:before="120" w:after="120" w:line="360" w:lineRule="auto"/>
        <w:ind w:firstLine="567"/>
        <w:jc w:val="both"/>
        <w:rPr>
          <w:rFonts w:asciiTheme="majorBidi" w:hAnsiTheme="majorBidi"/>
          <w:sz w:val="24"/>
          <w:szCs w:val="24"/>
        </w:rPr>
      </w:pPr>
    </w:p>
    <w:p w14:paraId="2E253679">
      <w:pPr>
        <w:spacing w:before="120" w:after="120" w:line="360" w:lineRule="auto"/>
        <w:ind w:firstLine="567"/>
        <w:jc w:val="both"/>
        <w:rPr>
          <w:rFonts w:asciiTheme="majorBidi" w:hAnsiTheme="majorBidi"/>
          <w:sz w:val="24"/>
          <w:szCs w:val="24"/>
        </w:rPr>
      </w:pPr>
    </w:p>
    <w:p w14:paraId="6C395F94">
      <w:pPr>
        <w:spacing w:before="120" w:after="120" w:line="360" w:lineRule="auto"/>
        <w:ind w:firstLine="567"/>
        <w:jc w:val="both"/>
        <w:rPr>
          <w:rFonts w:asciiTheme="majorBidi" w:hAnsiTheme="majorBidi"/>
          <w:sz w:val="24"/>
          <w:szCs w:val="24"/>
        </w:rPr>
      </w:pPr>
    </w:p>
    <w:p w14:paraId="0BCF31A2">
      <w:pPr>
        <w:spacing w:before="120" w:after="120" w:line="360" w:lineRule="auto"/>
        <w:ind w:firstLine="567"/>
        <w:jc w:val="both"/>
        <w:rPr>
          <w:rFonts w:asciiTheme="majorBidi" w:hAnsiTheme="majorBidi"/>
          <w:sz w:val="24"/>
          <w:szCs w:val="24"/>
        </w:rPr>
      </w:pPr>
    </w:p>
    <w:p w14:paraId="35A7019F">
      <w:pPr>
        <w:spacing w:before="120" w:after="120" w:line="360" w:lineRule="auto"/>
        <w:ind w:firstLine="567"/>
        <w:jc w:val="both"/>
        <w:rPr>
          <w:rFonts w:asciiTheme="majorBidi" w:hAnsiTheme="majorBidi"/>
          <w:sz w:val="24"/>
          <w:szCs w:val="24"/>
        </w:rPr>
      </w:pPr>
    </w:p>
    <w:p w14:paraId="731EC9D3">
      <w:pPr>
        <w:spacing w:before="120" w:after="120" w:line="360" w:lineRule="auto"/>
        <w:jc w:val="both"/>
        <w:rPr>
          <w:rFonts w:asciiTheme="majorBidi" w:hAnsiTheme="majorBidi"/>
          <w:sz w:val="24"/>
          <w:szCs w:val="24"/>
        </w:rPr>
      </w:pPr>
    </w:p>
    <w:p w14:paraId="2A1D678E">
      <w:pPr>
        <w:spacing w:after="0" w:line="360" w:lineRule="auto"/>
        <w:jc w:val="right"/>
        <w:rPr>
          <w:rFonts w:asciiTheme="majorBidi" w:hAnsiTheme="majorBidi" w:cstheme="majorBidi"/>
          <w:b/>
          <w:bCs/>
          <w:sz w:val="28"/>
          <w:szCs w:val="28"/>
          <w:lang w:val="en-GB" w:bidi="ar-DZ"/>
        </w:rPr>
      </w:pPr>
      <w:r>
        <w:rPr>
          <w:rFonts w:asciiTheme="majorBidi" w:hAnsiTheme="majorBidi" w:cstheme="majorBidi"/>
          <w:b/>
          <w:bCs/>
          <w:sz w:val="28"/>
          <w:szCs w:val="28"/>
          <w:rtl/>
          <w:lang w:val="en-GB" w:bidi="ar-DZ"/>
        </w:rPr>
        <w:t>ملخص</w:t>
      </w:r>
    </w:p>
    <w:p w14:paraId="451A7918">
      <w:pPr>
        <w:spacing w:after="0" w:line="360" w:lineRule="auto"/>
        <w:rPr>
          <w:rFonts w:asciiTheme="majorBidi" w:hAnsiTheme="majorBidi" w:cstheme="majorBidi"/>
          <w:sz w:val="24"/>
          <w:szCs w:val="24"/>
          <w:lang w:val="en-GB"/>
        </w:rPr>
      </w:pPr>
      <w:r>
        <w:rPr>
          <w:rFonts w:asciiTheme="majorBidi" w:hAnsiTheme="majorBidi" w:cstheme="majorBidi"/>
          <w:sz w:val="24"/>
          <w:szCs w:val="24"/>
          <w:lang w:val="en-GB"/>
        </w:rPr>
        <w:t>.</w:t>
      </w:r>
    </w:p>
    <w:p w14:paraId="23A464A3">
      <w:pPr>
        <w:bidi/>
        <w:spacing w:after="0" w:line="360" w:lineRule="auto"/>
        <w:ind w:firstLine="565"/>
        <w:jc w:val="both"/>
        <w:rPr>
          <w:rFonts w:asciiTheme="majorBidi" w:hAnsiTheme="majorBidi" w:cstheme="majorBidi"/>
          <w:sz w:val="24"/>
          <w:szCs w:val="24"/>
          <w:lang w:val="en-GB"/>
        </w:rPr>
      </w:pPr>
      <w:r>
        <w:rPr>
          <w:rFonts w:asciiTheme="majorBidi" w:hAnsiTheme="majorBidi" w:cstheme="majorBidi"/>
          <w:sz w:val="24"/>
          <w:szCs w:val="24"/>
          <w:rtl/>
          <w:lang w:val="en-GB"/>
        </w:rPr>
        <w:t xml:space="preserve">يتناول هذا البحث دراسة الطفيليات الدموية عند الأبقار بدون أعراض سريرية في منطقة سطيف (الجزائر). يهدف إلى تحديد نسبة انتشار العدوى بـ </w:t>
      </w:r>
      <w:r>
        <w:rPr>
          <w:rFonts w:asciiTheme="majorBidi" w:hAnsiTheme="majorBidi" w:cstheme="majorBidi"/>
          <w:i/>
          <w:iCs/>
          <w:sz w:val="24"/>
          <w:szCs w:val="24"/>
          <w:rtl/>
          <w:lang w:val="en-GB"/>
        </w:rPr>
        <w:t>بابيزيا وثيليريا وأنابلازما</w:t>
      </w:r>
      <w:r>
        <w:rPr>
          <w:rFonts w:asciiTheme="majorBidi" w:hAnsiTheme="majorBidi" w:cstheme="majorBidi"/>
          <w:sz w:val="24"/>
          <w:szCs w:val="24"/>
          <w:rtl/>
          <w:lang w:val="en-GB"/>
        </w:rPr>
        <w:t xml:space="preserve"> لدى أبقار تبدو سليمة ظاهريًا. تم جمع 80 عينة دم وتحليلها بواسطة لطاخات دموية مصبوغة بجييمسا. أظهرت النتائج غلبة واضحة للعدوى المفردة مقارنة بالعدوى المشتركة. كما أظهرت الدراسة فروقات مهمة في نسبة الكريات البيضاء بين الحيوانات المصابة وغير المصابة</w:t>
      </w:r>
    </w:p>
    <w:p w14:paraId="74B58FA9">
      <w:pPr>
        <w:bidi/>
        <w:spacing w:after="0" w:line="360" w:lineRule="auto"/>
        <w:jc w:val="both"/>
        <w:rPr>
          <w:rFonts w:asciiTheme="majorBidi" w:hAnsiTheme="majorBidi" w:cstheme="majorBidi"/>
          <w:sz w:val="24"/>
          <w:szCs w:val="24"/>
          <w:lang w:val="en-GB"/>
        </w:rPr>
      </w:pPr>
    </w:p>
    <w:p w14:paraId="74554D6A">
      <w:pPr>
        <w:bidi/>
        <w:spacing w:after="0" w:line="360" w:lineRule="auto"/>
        <w:ind w:firstLine="565"/>
        <w:jc w:val="both"/>
        <w:rPr>
          <w:rFonts w:asciiTheme="majorBidi" w:hAnsiTheme="majorBidi" w:cstheme="majorBidi"/>
          <w:sz w:val="24"/>
          <w:szCs w:val="24"/>
          <w:lang w:val="en-GB"/>
        </w:rPr>
      </w:pPr>
      <w:r>
        <w:rPr>
          <w:rFonts w:asciiTheme="majorBidi" w:hAnsiTheme="majorBidi" w:cstheme="majorBidi"/>
          <w:sz w:val="24"/>
          <w:szCs w:val="24"/>
          <w:rtl/>
          <w:lang w:val="en-GB"/>
        </w:rPr>
        <w:t>يُعد تحديد هذه العوامل الممرضة ضروريًا لتحسين الرعاية البيطرية والحد من الخسائر الاقتصادية في قطاع تربية الأبقار. كما يساهم هذا العمل في سد النقص في المعطيات المحلية حول الانتشار الصامت للطفيليات الدموية في الجزائر. تؤكد هذه النتائج الدور الوبائي للعدوى غير الظاهرة وأهمية تشديد إجراءات التشخيص والمراقبة</w:t>
      </w:r>
    </w:p>
    <w:p w14:paraId="0787C17D">
      <w:pPr>
        <w:bidi/>
        <w:spacing w:after="0" w:line="360" w:lineRule="auto"/>
        <w:jc w:val="both"/>
        <w:rPr>
          <w:rFonts w:asciiTheme="majorBidi" w:hAnsiTheme="majorBidi" w:cstheme="majorBidi"/>
          <w:sz w:val="24"/>
          <w:szCs w:val="24"/>
          <w:lang w:val="en-GB"/>
        </w:rPr>
      </w:pPr>
    </w:p>
    <w:p w14:paraId="7E169420">
      <w:pPr>
        <w:bidi/>
        <w:spacing w:after="0" w:line="360" w:lineRule="auto"/>
        <w:ind w:firstLine="565"/>
        <w:jc w:val="both"/>
        <w:rPr>
          <w:rFonts w:asciiTheme="majorBidi" w:hAnsiTheme="majorBidi" w:cstheme="majorBidi"/>
          <w:sz w:val="24"/>
          <w:szCs w:val="24"/>
          <w:lang w:val="en-GB"/>
        </w:rPr>
      </w:pPr>
      <w:r>
        <w:rPr>
          <w:rFonts w:asciiTheme="majorBidi" w:hAnsiTheme="majorBidi" w:cstheme="majorBidi"/>
          <w:b/>
          <w:bCs/>
          <w:sz w:val="24"/>
          <w:szCs w:val="24"/>
          <w:rtl/>
          <w:lang w:val="en-GB"/>
        </w:rPr>
        <w:t>الكلمات المفتاحية</w:t>
      </w:r>
      <w:r>
        <w:rPr>
          <w:rFonts w:asciiTheme="majorBidi" w:hAnsiTheme="majorBidi" w:cstheme="majorBidi"/>
          <w:sz w:val="24"/>
          <w:szCs w:val="24"/>
          <w:rtl/>
          <w:lang w:val="en-GB"/>
        </w:rPr>
        <w:t>: بابيزيا، ثيليريا، أنابلازما، أبقار، عدوى بدون أعراض، لطاخة دموية، طفيليات دموية، سطيف</w:t>
      </w:r>
    </w:p>
    <w:p w14:paraId="3E8B5665">
      <w:pPr>
        <w:spacing w:before="120" w:after="120" w:line="360" w:lineRule="auto"/>
        <w:jc w:val="both"/>
        <w:rPr>
          <w:rFonts w:asciiTheme="majorBidi" w:hAnsiTheme="majorBidi"/>
          <w:sz w:val="24"/>
          <w:szCs w:val="24"/>
        </w:rPr>
      </w:pPr>
    </w:p>
    <w:p w14:paraId="495A617B">
      <w:pPr>
        <w:spacing w:before="120" w:after="120" w:line="360" w:lineRule="auto"/>
        <w:jc w:val="both"/>
        <w:rPr>
          <w:rFonts w:asciiTheme="majorBidi" w:hAnsiTheme="majorBidi"/>
          <w:sz w:val="24"/>
          <w:szCs w:val="24"/>
        </w:rPr>
      </w:pPr>
    </w:p>
    <w:p w14:paraId="15FD2EBE">
      <w:pPr>
        <w:spacing w:after="0" w:line="360" w:lineRule="auto"/>
        <w:rPr>
          <w:rFonts w:asciiTheme="majorBidi" w:hAnsiTheme="majorBidi" w:cstheme="majorBidi"/>
          <w:bCs/>
          <w:i/>
          <w:iCs/>
          <w:color w:val="000000" w:themeColor="text1"/>
          <w:szCs w:val="28"/>
          <w:lang w:val="fr-FR"/>
          <w14:textFill>
            <w14:solidFill>
              <w14:schemeClr w14:val="tx1"/>
            </w14:solidFill>
          </w14:textFill>
        </w:rPr>
      </w:pPr>
    </w:p>
    <w:p w14:paraId="1EAB24D4">
      <w:pPr>
        <w:spacing w:line="360" w:lineRule="auto"/>
        <w:jc w:val="both"/>
        <w:rPr>
          <w:rFonts w:asciiTheme="majorBidi" w:hAnsiTheme="majorBidi" w:cstheme="majorBidi"/>
          <w:b/>
          <w:bCs/>
          <w:sz w:val="36"/>
          <w:szCs w:val="36"/>
          <w:lang w:val="fr-FR"/>
        </w:rPr>
      </w:pPr>
      <w:r>
        <w:rPr>
          <w:rFonts w:asciiTheme="majorBidi" w:hAnsiTheme="majorBidi" w:cstheme="majorBidi"/>
          <w:b/>
          <w:bCs/>
          <w:sz w:val="36"/>
          <w:szCs w:val="36"/>
          <w:lang w:val="fr-FR"/>
        </w:rPr>
        <w:br w:type="textWrapping"/>
      </w:r>
      <w:r>
        <w:rPr>
          <w:rFonts w:asciiTheme="majorBidi" w:hAnsiTheme="majorBidi" w:cstheme="majorBidi"/>
          <w:b/>
          <w:bCs/>
          <w:sz w:val="36"/>
          <w:szCs w:val="36"/>
          <w:lang w:val="fr-FR"/>
        </w:rPr>
        <w:br w:type="textWrapping"/>
      </w:r>
    </w:p>
    <w:p w14:paraId="6F8EC4E6">
      <w:pPr>
        <w:spacing w:line="360" w:lineRule="auto"/>
        <w:jc w:val="center"/>
        <w:rPr>
          <w:rFonts w:asciiTheme="majorBidi" w:hAnsiTheme="majorBidi" w:cstheme="majorBidi"/>
          <w:b/>
          <w:bCs/>
          <w:sz w:val="36"/>
          <w:szCs w:val="36"/>
          <w:lang w:val="fr-FR"/>
        </w:rPr>
      </w:pPr>
    </w:p>
    <w:sectPr>
      <w:pgSz w:w="11906" w:h="16838"/>
      <w:pgMar w:top="1417" w:right="1417" w:bottom="1417" w:left="1417"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37B12"/>
    <w:multiLevelType w:val="multilevel"/>
    <w:tmpl w:val="5D537B12"/>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294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33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unhideWhenUsed/>
    <w:qFormat/>
    <w:uiPriority w:val="99"/>
    <w:pPr>
      <w:tabs>
        <w:tab w:val="center" w:pos="4680"/>
        <w:tab w:val="right" w:pos="9360"/>
      </w:tabs>
      <w:spacing w:after="0" w:line="240" w:lineRule="auto"/>
    </w:pPr>
  </w:style>
  <w:style w:type="paragraph" w:styleId="7">
    <w:name w:val="header"/>
    <w:basedOn w:val="1"/>
    <w:unhideWhenUsed/>
    <w:qFormat/>
    <w:uiPriority w:val="99"/>
    <w:pPr>
      <w:tabs>
        <w:tab w:val="center" w:pos="4680"/>
        <w:tab w:val="right" w:pos="9360"/>
      </w:tabs>
      <w:spacing w:after="0" w:line="240" w:lineRule="auto"/>
    </w:pPr>
    <w:rPr>
      <w:lang w:val="fr-FR" w:eastAsia="fr-FR"/>
    </w:rPr>
  </w:style>
  <w:style w:type="paragraph" w:styleId="8">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lang w:val="fr-FR" w:eastAsia="fr-FR"/>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toc 3"/>
    <w:basedOn w:val="1"/>
    <w:next w:val="1"/>
    <w:unhideWhenUsed/>
    <w:qFormat/>
    <w:uiPriority w:val="39"/>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2025-07-06T18:46:39Z</dcterms:created>
  <dc:creator>RIAD</dc:creator>
  <cp:lastModifiedBy>RIAD</cp:lastModifiedBy>
  <dcterms:modified xsi:type="dcterms:W3CDTF">2025-07-06T20:14:17Z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050415627209449480F3B642B8F9BCBC_13</vt:lpwstr>
  </property>
</Properties>
</file>