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2B9" w:rsidRDefault="001812B9" w:rsidP="001812B9">
      <w:pPr>
        <w:bidi/>
        <w:spacing w:before="100" w:beforeAutospacing="1" w:after="100" w:afterAutospacing="1"/>
        <w:outlineLvl w:val="0"/>
        <w:rPr>
          <w:rFonts w:ascii="Sakkal Majalla" w:eastAsia="Times New Roman" w:hAnsi="Sakkal Majalla" w:cs="Sakkal Majalla"/>
          <w:b/>
          <w:bCs/>
          <w:sz w:val="32"/>
          <w:szCs w:val="32"/>
          <w:lang w:val="fr-FR" w:eastAsia="fr-FR"/>
        </w:rPr>
      </w:pPr>
      <w:bookmarkStart w:id="0" w:name="_Toc201371908"/>
      <w:proofErr w:type="gramStart"/>
      <w:r>
        <w:rPr>
          <w:rFonts w:ascii="Sakkal Majalla" w:eastAsia="Times New Roman" w:hAnsi="Sakkal Majalla" w:cs="Sakkal Majalla"/>
          <w:b/>
          <w:bCs/>
          <w:sz w:val="32"/>
          <w:szCs w:val="32"/>
          <w:rtl/>
          <w:lang w:val="fr-FR" w:eastAsia="fr-FR"/>
        </w:rPr>
        <w:t>الملخص</w:t>
      </w:r>
      <w:bookmarkEnd w:id="0"/>
      <w:proofErr w:type="gramEnd"/>
    </w:p>
    <w:p w:rsidR="001812B9" w:rsidRDefault="001812B9" w:rsidP="001812B9">
      <w:pPr>
        <w:bidi/>
        <w:spacing w:before="100" w:beforeAutospacing="1" w:after="100" w:afterAutospacing="1"/>
        <w:rPr>
          <w:rFonts w:ascii="Sakkal Majalla" w:eastAsia="Times New Roman" w:hAnsi="Sakkal Majalla" w:cs="Sakkal Majalla"/>
          <w:sz w:val="32"/>
          <w:szCs w:val="32"/>
          <w:lang w:val="fr-FR" w:eastAsia="fr-FR"/>
        </w:rPr>
      </w:pPr>
      <w:proofErr w:type="gramStart"/>
      <w:r>
        <w:rPr>
          <w:rFonts w:ascii="Sakkal Majalla" w:eastAsia="Times New Roman" w:hAnsi="Sakkal Majalla" w:cs="Sakkal Majalla"/>
          <w:sz w:val="32"/>
          <w:szCs w:val="32"/>
          <w:rtl/>
          <w:lang w:val="fr-FR" w:eastAsia="fr-FR"/>
        </w:rPr>
        <w:t>تهدف</w:t>
      </w:r>
      <w:proofErr w:type="gramEnd"/>
      <w:r>
        <w:rPr>
          <w:rFonts w:ascii="Sakkal Majalla" w:eastAsia="Times New Roman" w:hAnsi="Sakkal Majalla" w:cs="Sakkal Majalla"/>
          <w:sz w:val="32"/>
          <w:szCs w:val="32"/>
          <w:rtl/>
          <w:lang w:val="fr-FR" w:eastAsia="fr-FR"/>
        </w:rPr>
        <w:t xml:space="preserve"> هذه المذكرة إلى دراسة مدى فعالية السياستين المالية والنقدية في التأثير على النمو الاقتصادي في الجزائر خلال الفترة (2010–2024)، وذلك من خلال تحليل نظري وتطبيقي يعتمد على نماذج قياسية حديثة. </w:t>
      </w:r>
      <w:proofErr w:type="gramStart"/>
      <w:r>
        <w:rPr>
          <w:rFonts w:ascii="Sakkal Majalla" w:eastAsia="Times New Roman" w:hAnsi="Sakkal Majalla" w:cs="Sakkal Majalla"/>
          <w:sz w:val="32"/>
          <w:szCs w:val="32"/>
          <w:rtl/>
          <w:lang w:val="fr-FR" w:eastAsia="fr-FR"/>
        </w:rPr>
        <w:t>تم</w:t>
      </w:r>
      <w:proofErr w:type="gramEnd"/>
      <w:r>
        <w:rPr>
          <w:rFonts w:ascii="Sakkal Majalla" w:eastAsia="Times New Roman" w:hAnsi="Sakkal Majalla" w:cs="Sakkal Majalla"/>
          <w:sz w:val="32"/>
          <w:szCs w:val="32"/>
          <w:rtl/>
          <w:lang w:val="fr-FR" w:eastAsia="fr-FR"/>
        </w:rPr>
        <w:t xml:space="preserve"> استخدام بيانات سنوية لسلاسل زمنية اقتصادية، وجرى بناء نموذج قياسي يعتمد الناتج المحلي الإجمالي الحقيقي كمتغير تابع، في مقابل متغيرات تمثل أدوات السياسة المالية كالإنفاق العمومي والعجز المالي) وأدوات السياسة النقدية (كسعر الفائدة، عرض النقد، معدل التضخم وسعر الصرف.</w:t>
      </w:r>
    </w:p>
    <w:p w:rsidR="001812B9" w:rsidRDefault="001812B9" w:rsidP="001812B9">
      <w:pPr>
        <w:bidi/>
        <w:spacing w:before="100" w:beforeAutospacing="1" w:after="100" w:afterAutospacing="1"/>
        <w:rPr>
          <w:rFonts w:ascii="Sakkal Majalla" w:eastAsia="Times New Roman" w:hAnsi="Sakkal Majalla" w:cs="Sakkal Majalla"/>
          <w:sz w:val="32"/>
          <w:szCs w:val="32"/>
          <w:lang w:val="fr-FR" w:eastAsia="fr-FR"/>
        </w:rPr>
      </w:pPr>
      <w:proofErr w:type="gramStart"/>
      <w:r>
        <w:rPr>
          <w:rFonts w:ascii="Sakkal Majalla" w:eastAsia="Times New Roman" w:hAnsi="Sakkal Majalla" w:cs="Sakkal Majalla"/>
          <w:sz w:val="32"/>
          <w:szCs w:val="32"/>
          <w:rtl/>
          <w:lang w:val="fr-FR" w:eastAsia="fr-FR"/>
        </w:rPr>
        <w:t>أظهرت</w:t>
      </w:r>
      <w:proofErr w:type="gramEnd"/>
      <w:r>
        <w:rPr>
          <w:rFonts w:ascii="Sakkal Majalla" w:eastAsia="Times New Roman" w:hAnsi="Sakkal Majalla" w:cs="Sakkal Majalla"/>
          <w:sz w:val="32"/>
          <w:szCs w:val="32"/>
          <w:rtl/>
          <w:lang w:val="fr-FR" w:eastAsia="fr-FR"/>
        </w:rPr>
        <w:t xml:space="preserve"> نتائج الدراسة أن للسياسة المالية تأثيرًا معنوياً وإيجابيًا على النمو الاقتصادي، في حين كان تأثير السياسة النقدية محدودًا نسبيًا، ويرجع ذلك إلى ضعف استقلالية البنك المركزي، وغياب سوق مالية نشطة، وتوجيه السيولة نحو القطاعات غير الإنتاجية. أوصت الدراسة بضرورة تنسيق السياسات الاقتصادية، وإصلاح المنظومة المصرفية، وتوجيه الإنفاق العمومي نحو قطاعات منتجة، إلى جانب العمل على تنويع مصادر الدخل خارج قطاع المحروقات لتحقيق نمو مستدام</w:t>
      </w:r>
      <w:r>
        <w:rPr>
          <w:rFonts w:ascii="Sakkal Majalla" w:eastAsia="Times New Roman" w:hAnsi="Sakkal Majalla" w:cs="Sakkal Majalla"/>
          <w:sz w:val="32"/>
          <w:szCs w:val="32"/>
          <w:lang w:val="fr-FR" w:eastAsia="fr-FR"/>
        </w:rPr>
        <w:t>.</w:t>
      </w:r>
    </w:p>
    <w:p w:rsidR="001812B9" w:rsidRDefault="001812B9" w:rsidP="001812B9">
      <w:pPr>
        <w:bidi/>
        <w:spacing w:before="100" w:beforeAutospacing="1" w:after="100" w:afterAutospacing="1"/>
        <w:rPr>
          <w:rFonts w:ascii="Sakkal Majalla" w:eastAsia="Times New Roman" w:hAnsi="Sakkal Majalla" w:cs="Sakkal Majalla"/>
          <w:sz w:val="32"/>
          <w:szCs w:val="32"/>
          <w:lang w:val="fr-FR" w:eastAsia="fr-FR"/>
        </w:rPr>
      </w:pPr>
      <w:r>
        <w:rPr>
          <w:rFonts w:ascii="Sakkal Majalla" w:eastAsia="Times New Roman" w:hAnsi="Sakkal Majalla" w:cs="Sakkal Majalla"/>
          <w:b/>
          <w:bCs/>
          <w:sz w:val="32"/>
          <w:szCs w:val="32"/>
          <w:rtl/>
          <w:lang w:val="fr-FR" w:eastAsia="fr-FR"/>
        </w:rPr>
        <w:t xml:space="preserve">الكلمات </w:t>
      </w:r>
      <w:proofErr w:type="spellStart"/>
      <w:r>
        <w:rPr>
          <w:rFonts w:ascii="Sakkal Majalla" w:eastAsia="Times New Roman" w:hAnsi="Sakkal Majalla" w:cs="Sakkal Majalla"/>
          <w:b/>
          <w:bCs/>
          <w:sz w:val="32"/>
          <w:szCs w:val="32"/>
          <w:rtl/>
          <w:lang w:val="fr-FR" w:eastAsia="fr-FR"/>
        </w:rPr>
        <w:t>المفتاحية</w:t>
      </w:r>
      <w:proofErr w:type="spellEnd"/>
      <w:r>
        <w:rPr>
          <w:rFonts w:ascii="Sakkal Majalla" w:eastAsia="Times New Roman" w:hAnsi="Sakkal Majalla" w:cs="Sakkal Majalla"/>
          <w:b/>
          <w:bCs/>
          <w:sz w:val="32"/>
          <w:szCs w:val="32"/>
          <w:lang w:val="fr-FR" w:eastAsia="fr-FR"/>
        </w:rPr>
        <w:t>:</w:t>
      </w:r>
      <w:r>
        <w:rPr>
          <w:rFonts w:ascii="Sakkal Majalla" w:eastAsia="Times New Roman" w:hAnsi="Sakkal Majalla" w:cs="Sakkal Majalla"/>
          <w:sz w:val="32"/>
          <w:szCs w:val="32"/>
          <w:rtl/>
          <w:lang w:val="fr-FR" w:eastAsia="fr-FR"/>
        </w:rPr>
        <w:t xml:space="preserve">السياسة المالية، السياسة النقدية، النمو الاقتصادي، الجزائر، نموذج قياسي، </w:t>
      </w:r>
      <w:r>
        <w:rPr>
          <w:rFonts w:ascii="Sakkal Majalla" w:eastAsia="Times New Roman" w:hAnsi="Sakkal Majalla" w:cs="Sakkal Majalla"/>
          <w:sz w:val="32"/>
          <w:szCs w:val="32"/>
          <w:lang w:val="fr-FR" w:eastAsia="fr-FR"/>
        </w:rPr>
        <w:t>ARDL.</w:t>
      </w:r>
    </w:p>
    <w:p w:rsidR="001812B9" w:rsidRDefault="001812B9" w:rsidP="001812B9">
      <w:pPr>
        <w:rPr>
          <w:rFonts w:ascii="Sakkal Majalla" w:eastAsia="Times New Roman" w:hAnsi="Sakkal Majalla" w:cs="Sakkal Majalla"/>
          <w:sz w:val="32"/>
          <w:szCs w:val="32"/>
          <w:lang w:val="fr-FR" w:eastAsia="fr-FR"/>
        </w:rPr>
      </w:pPr>
      <w:r>
        <w:rPr>
          <w:rFonts w:ascii="Sakkal Majalla" w:eastAsia="Times New Roman" w:hAnsi="Sakkal Majalla" w:cs="Sakkal Majalla"/>
          <w:sz w:val="32"/>
          <w:szCs w:val="32"/>
          <w:lang w:val="fr-FR" w:eastAsia="fr-FR"/>
        </w:rPr>
        <w:br w:type="page"/>
      </w:r>
    </w:p>
    <w:p w:rsidR="001812B9" w:rsidRDefault="001812B9" w:rsidP="001812B9">
      <w:pPr>
        <w:spacing w:before="100" w:beforeAutospacing="1" w:after="100" w:afterAutospacing="1"/>
        <w:rPr>
          <w:rFonts w:ascii="Sakkal Majalla" w:eastAsia="Times New Roman" w:hAnsi="Sakkal Majalla" w:cs="Sakkal Majalla"/>
          <w:b/>
          <w:bCs/>
          <w:sz w:val="32"/>
          <w:szCs w:val="32"/>
          <w:lang w:val="en-US" w:eastAsia="fr-FR"/>
        </w:rPr>
      </w:pPr>
      <w:r>
        <w:rPr>
          <w:rFonts w:ascii="Sakkal Majalla" w:eastAsia="Times New Roman" w:hAnsi="Sakkal Majalla" w:cs="Sakkal Majalla"/>
          <w:b/>
          <w:bCs/>
          <w:sz w:val="32"/>
          <w:szCs w:val="32"/>
          <w:lang w:val="en-US" w:eastAsia="fr-FR"/>
        </w:rPr>
        <w:lastRenderedPageBreak/>
        <w:t xml:space="preserve">Abstract </w:t>
      </w:r>
    </w:p>
    <w:p w:rsidR="001812B9" w:rsidRDefault="001812B9" w:rsidP="001812B9">
      <w:pPr>
        <w:spacing w:before="100" w:beforeAutospacing="1" w:after="100" w:afterAutospacing="1"/>
        <w:rPr>
          <w:rFonts w:ascii="Sakkal Majalla" w:eastAsia="Times New Roman" w:hAnsi="Sakkal Majalla" w:cs="Sakkal Majalla"/>
          <w:sz w:val="32"/>
          <w:szCs w:val="32"/>
          <w:lang w:val="en-US" w:eastAsia="fr-FR"/>
        </w:rPr>
      </w:pPr>
      <w:r>
        <w:rPr>
          <w:rFonts w:ascii="Sakkal Majalla" w:eastAsia="Times New Roman" w:hAnsi="Sakkal Majalla" w:cs="Sakkal Majalla"/>
          <w:sz w:val="32"/>
          <w:szCs w:val="32"/>
          <w:lang w:val="en-US" w:eastAsia="fr-FR"/>
        </w:rPr>
        <w:t>This thesis aims to examine the effectiveness of fiscal and monetary policies in influencing economic growth in Algeria during the period 2010–2024. The study combines theoretical analysis with an empirical approach based on modern econometric modeling. Annual time series data were used, and a model was built where real GDP is the dependent variable, while fiscal variables (such as government expenditure and budget deficit) and monetary variables (such as interest rate, money supply, inflation rate, and exchange rate) serve as independent variables.</w:t>
      </w:r>
    </w:p>
    <w:p w:rsidR="001812B9" w:rsidRDefault="001812B9" w:rsidP="001812B9">
      <w:pPr>
        <w:spacing w:before="100" w:beforeAutospacing="1" w:after="100" w:afterAutospacing="1"/>
        <w:rPr>
          <w:rFonts w:ascii="Sakkal Majalla" w:eastAsia="Times New Roman" w:hAnsi="Sakkal Majalla" w:cs="Sakkal Majalla"/>
          <w:sz w:val="32"/>
          <w:szCs w:val="32"/>
          <w:lang w:val="en-US" w:eastAsia="fr-FR"/>
        </w:rPr>
      </w:pPr>
      <w:r>
        <w:rPr>
          <w:rFonts w:ascii="Sakkal Majalla" w:eastAsia="Times New Roman" w:hAnsi="Sakkal Majalla" w:cs="Sakkal Majalla"/>
          <w:sz w:val="32"/>
          <w:szCs w:val="32"/>
          <w:lang w:val="en-US" w:eastAsia="fr-FR"/>
        </w:rPr>
        <w:t>The results revealed that fiscal policy has a statistically significant and positive effect on economic growth, whereas the impact of monetary policy was relatively weak. This is mainly attributed to the limited independence of the central bank, underdeveloped financial markets, and inefficient allocation of liquidity. The study recommends enhancing the coordination between fiscal and monetary policies, reforming the banking sector, directing public expenditure toward productive sectors, and diversifying income sources away from hydrocarbons to achieve sustainable growth.</w:t>
      </w:r>
    </w:p>
    <w:p w:rsidR="001812B9" w:rsidRDefault="001812B9" w:rsidP="001812B9">
      <w:pPr>
        <w:spacing w:before="100" w:beforeAutospacing="1" w:after="100" w:afterAutospacing="1"/>
        <w:rPr>
          <w:rFonts w:ascii="Sakkal Majalla" w:eastAsia="Times New Roman" w:hAnsi="Sakkal Majalla" w:cs="Sakkal Majalla"/>
          <w:sz w:val="32"/>
          <w:szCs w:val="32"/>
          <w:lang w:val="en-US" w:eastAsia="fr-FR"/>
        </w:rPr>
      </w:pPr>
      <w:r>
        <w:rPr>
          <w:rFonts w:ascii="Sakkal Majalla" w:eastAsia="Times New Roman" w:hAnsi="Sakkal Majalla" w:cs="Sakkal Majalla"/>
          <w:b/>
          <w:bCs/>
          <w:sz w:val="32"/>
          <w:szCs w:val="32"/>
          <w:lang w:val="en-US" w:eastAsia="fr-FR"/>
        </w:rPr>
        <w:t>Keywords:</w:t>
      </w:r>
      <w:r>
        <w:rPr>
          <w:rFonts w:ascii="Sakkal Majalla" w:eastAsia="Times New Roman" w:hAnsi="Sakkal Majalla" w:cs="Sakkal Majalla"/>
          <w:sz w:val="32"/>
          <w:szCs w:val="32"/>
          <w:lang w:val="en-US" w:eastAsia="fr-FR"/>
        </w:rPr>
        <w:t xml:space="preserve"> Fiscal policy, </w:t>
      </w:r>
      <w:proofErr w:type="gramStart"/>
      <w:r>
        <w:rPr>
          <w:rFonts w:ascii="Sakkal Majalla" w:eastAsia="Times New Roman" w:hAnsi="Sakkal Majalla" w:cs="Sakkal Majalla"/>
          <w:sz w:val="32"/>
          <w:szCs w:val="32"/>
          <w:lang w:val="en-US" w:eastAsia="fr-FR"/>
        </w:rPr>
        <w:t>Monetary</w:t>
      </w:r>
      <w:proofErr w:type="gramEnd"/>
      <w:r>
        <w:rPr>
          <w:rFonts w:ascii="Sakkal Majalla" w:eastAsia="Times New Roman" w:hAnsi="Sakkal Majalla" w:cs="Sakkal Majalla"/>
          <w:sz w:val="32"/>
          <w:szCs w:val="32"/>
          <w:lang w:val="en-US" w:eastAsia="fr-FR"/>
        </w:rPr>
        <w:t xml:space="preserve"> policy, Economic growth, Algeria, Econometric model, ARDL.</w:t>
      </w:r>
    </w:p>
    <w:p w:rsidR="001812B9" w:rsidRDefault="001812B9" w:rsidP="001812B9">
      <w:pPr>
        <w:spacing w:before="100" w:beforeAutospacing="1" w:after="100" w:afterAutospacing="1"/>
        <w:rPr>
          <w:rFonts w:ascii="Sakkal Majalla" w:eastAsia="Times New Roman" w:hAnsi="Sakkal Majalla" w:cs="Sakkal Majalla"/>
          <w:sz w:val="32"/>
          <w:szCs w:val="32"/>
          <w:lang w:val="en-US" w:eastAsia="fr-FR"/>
        </w:rPr>
      </w:pPr>
    </w:p>
    <w:p w:rsidR="00B47816" w:rsidRPr="001812B9" w:rsidRDefault="00B47816" w:rsidP="001812B9">
      <w:pPr>
        <w:jc w:val="right"/>
        <w:rPr>
          <w:lang w:val="en-US"/>
        </w:rPr>
      </w:pPr>
    </w:p>
    <w:sectPr w:rsidR="00B47816" w:rsidRPr="001812B9" w:rsidSect="0040361B">
      <w:pgSz w:w="11906" w:h="16841"/>
      <w:pgMar w:top="1470" w:right="1344" w:bottom="1423" w:left="1419" w:header="720" w:footer="714" w:gutter="0"/>
      <w:cols w:space="708"/>
      <w:bidi/>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hyphenationZone w:val="425"/>
  <w:drawingGridHorizontalSpacing w:val="110"/>
  <w:drawingGridVerticalSpacing w:val="299"/>
  <w:displayHorizontalDrawingGridEvery w:val="2"/>
  <w:characterSpacingControl w:val="doNotCompress"/>
  <w:compat/>
  <w:rsids>
    <w:rsidRoot w:val="001812B9"/>
    <w:rsid w:val="00003589"/>
    <w:rsid w:val="000237CB"/>
    <w:rsid w:val="00026AA0"/>
    <w:rsid w:val="00035C5A"/>
    <w:rsid w:val="000362C2"/>
    <w:rsid w:val="00060332"/>
    <w:rsid w:val="00067F1A"/>
    <w:rsid w:val="0007238A"/>
    <w:rsid w:val="000A72AF"/>
    <w:rsid w:val="000C0F1B"/>
    <w:rsid w:val="000E3464"/>
    <w:rsid w:val="00100380"/>
    <w:rsid w:val="00116D2A"/>
    <w:rsid w:val="001620B3"/>
    <w:rsid w:val="00162F7E"/>
    <w:rsid w:val="0016305B"/>
    <w:rsid w:val="00164758"/>
    <w:rsid w:val="001812B9"/>
    <w:rsid w:val="001C305D"/>
    <w:rsid w:val="00214499"/>
    <w:rsid w:val="002364E6"/>
    <w:rsid w:val="00247140"/>
    <w:rsid w:val="002740D3"/>
    <w:rsid w:val="002976DB"/>
    <w:rsid w:val="002B30F1"/>
    <w:rsid w:val="002E0775"/>
    <w:rsid w:val="002F1243"/>
    <w:rsid w:val="002F556C"/>
    <w:rsid w:val="003102E4"/>
    <w:rsid w:val="00317DA5"/>
    <w:rsid w:val="00340717"/>
    <w:rsid w:val="0035402A"/>
    <w:rsid w:val="00391D24"/>
    <w:rsid w:val="003967C0"/>
    <w:rsid w:val="00397C33"/>
    <w:rsid w:val="003D5179"/>
    <w:rsid w:val="004013C4"/>
    <w:rsid w:val="0040361B"/>
    <w:rsid w:val="00413D29"/>
    <w:rsid w:val="00430CBE"/>
    <w:rsid w:val="0043397B"/>
    <w:rsid w:val="004347F1"/>
    <w:rsid w:val="004841F5"/>
    <w:rsid w:val="00494056"/>
    <w:rsid w:val="00497340"/>
    <w:rsid w:val="004A4CC9"/>
    <w:rsid w:val="004E2B67"/>
    <w:rsid w:val="004F00CC"/>
    <w:rsid w:val="0054521D"/>
    <w:rsid w:val="005732BB"/>
    <w:rsid w:val="00594AEA"/>
    <w:rsid w:val="00595A10"/>
    <w:rsid w:val="005A499A"/>
    <w:rsid w:val="00600043"/>
    <w:rsid w:val="00603533"/>
    <w:rsid w:val="00620ABD"/>
    <w:rsid w:val="006414F4"/>
    <w:rsid w:val="00665908"/>
    <w:rsid w:val="0069301C"/>
    <w:rsid w:val="006D58B1"/>
    <w:rsid w:val="00760682"/>
    <w:rsid w:val="007B70A4"/>
    <w:rsid w:val="007D4BE9"/>
    <w:rsid w:val="007D4E0A"/>
    <w:rsid w:val="00802CB4"/>
    <w:rsid w:val="008124C3"/>
    <w:rsid w:val="008162AF"/>
    <w:rsid w:val="0085025E"/>
    <w:rsid w:val="00863812"/>
    <w:rsid w:val="0087086F"/>
    <w:rsid w:val="008A50F6"/>
    <w:rsid w:val="008B1446"/>
    <w:rsid w:val="008C057A"/>
    <w:rsid w:val="008C5C99"/>
    <w:rsid w:val="008F4CB3"/>
    <w:rsid w:val="009048BE"/>
    <w:rsid w:val="00911D6F"/>
    <w:rsid w:val="00943547"/>
    <w:rsid w:val="009476BE"/>
    <w:rsid w:val="0096110E"/>
    <w:rsid w:val="009646A7"/>
    <w:rsid w:val="009B73A1"/>
    <w:rsid w:val="009D1436"/>
    <w:rsid w:val="009E45E0"/>
    <w:rsid w:val="009F1A09"/>
    <w:rsid w:val="00A00127"/>
    <w:rsid w:val="00A044DC"/>
    <w:rsid w:val="00A048BF"/>
    <w:rsid w:val="00A304F8"/>
    <w:rsid w:val="00A47AD4"/>
    <w:rsid w:val="00A575DC"/>
    <w:rsid w:val="00A759E1"/>
    <w:rsid w:val="00A81C17"/>
    <w:rsid w:val="00A850C5"/>
    <w:rsid w:val="00AA57A3"/>
    <w:rsid w:val="00AB0165"/>
    <w:rsid w:val="00AB7A2F"/>
    <w:rsid w:val="00AC514F"/>
    <w:rsid w:val="00AC703F"/>
    <w:rsid w:val="00AD7009"/>
    <w:rsid w:val="00AE6F65"/>
    <w:rsid w:val="00AF548E"/>
    <w:rsid w:val="00B0006E"/>
    <w:rsid w:val="00B07677"/>
    <w:rsid w:val="00B3324A"/>
    <w:rsid w:val="00B44E19"/>
    <w:rsid w:val="00B47816"/>
    <w:rsid w:val="00B64FC7"/>
    <w:rsid w:val="00B7401B"/>
    <w:rsid w:val="00B845D2"/>
    <w:rsid w:val="00BC785E"/>
    <w:rsid w:val="00BE63B1"/>
    <w:rsid w:val="00C018AA"/>
    <w:rsid w:val="00C0761E"/>
    <w:rsid w:val="00C33035"/>
    <w:rsid w:val="00C46B5D"/>
    <w:rsid w:val="00C57244"/>
    <w:rsid w:val="00CA48D8"/>
    <w:rsid w:val="00CE16EE"/>
    <w:rsid w:val="00CE5871"/>
    <w:rsid w:val="00D12A79"/>
    <w:rsid w:val="00D31F6A"/>
    <w:rsid w:val="00D373AD"/>
    <w:rsid w:val="00D377BB"/>
    <w:rsid w:val="00D415F7"/>
    <w:rsid w:val="00D5155E"/>
    <w:rsid w:val="00D533E9"/>
    <w:rsid w:val="00D65C88"/>
    <w:rsid w:val="00DB060F"/>
    <w:rsid w:val="00DB1751"/>
    <w:rsid w:val="00DB7AF6"/>
    <w:rsid w:val="00DD214D"/>
    <w:rsid w:val="00E1631A"/>
    <w:rsid w:val="00E27C9E"/>
    <w:rsid w:val="00E402F2"/>
    <w:rsid w:val="00E55ECD"/>
    <w:rsid w:val="00E56802"/>
    <w:rsid w:val="00E57804"/>
    <w:rsid w:val="00E60E97"/>
    <w:rsid w:val="00E641B1"/>
    <w:rsid w:val="00E66280"/>
    <w:rsid w:val="00E97A74"/>
    <w:rsid w:val="00EA2E70"/>
    <w:rsid w:val="00EF1C7F"/>
    <w:rsid w:val="00F741F4"/>
    <w:rsid w:val="00F86A39"/>
    <w:rsid w:val="00FA1AE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12B9"/>
    <w:rPr>
      <w:lang w:val="en-Z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68108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1897</Characters>
  <Application>Microsoft Office Word</Application>
  <DocSecurity>0</DocSecurity>
  <Lines>15</Lines>
  <Paragraphs>4</Paragraphs>
  <ScaleCrop>false</ScaleCrop>
  <Company/>
  <LinksUpToDate>false</LinksUpToDate>
  <CharactersWithSpaces>2237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MIX</dc:creator>
  <cp:lastModifiedBy>MIX</cp:lastModifiedBy>
  <cp:revision>2</cp:revision>
  <dcterms:created xsi:type="dcterms:W3CDTF">2025-07-15T07:40:00Z</dcterms:created>
  <dcterms:modified xsi:type="dcterms:W3CDTF">2025-07-15T07:41:00Z</dcterms:modified>
</cp:coreProperties>
</file>