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9E3" w:rsidRPr="006B59E3" w:rsidRDefault="006B59E3" w:rsidP="006B59E3">
      <w:pPr>
        <w:bidi/>
        <w:jc w:val="mediumKashida"/>
        <w:rPr>
          <w:rFonts w:ascii="Sakkal Majalla" w:eastAsia="Calibri" w:hAnsi="Sakkal Majalla" w:cs="Sakkal Majalla"/>
          <w:sz w:val="32"/>
          <w:szCs w:val="32"/>
          <w:rtl/>
          <w:lang w:val="en-US" w:bidi="ar-DZ"/>
        </w:rPr>
      </w:pPr>
      <w:r w:rsidRPr="006B59E3">
        <w:rPr>
          <w:rFonts w:ascii="Sakkal Majalla" w:eastAsia="Calibri" w:hAnsi="Sakkal Majalla" w:cs="Sakkal Majalla" w:hint="cs"/>
          <w:b/>
          <w:bCs/>
          <w:sz w:val="32"/>
          <w:szCs w:val="32"/>
          <w:rtl/>
          <w:lang w:val="en-US" w:bidi="ar-DZ"/>
        </w:rPr>
        <w:t>ملخص</w:t>
      </w:r>
      <w:r w:rsidRPr="006B59E3">
        <w:rPr>
          <w:rFonts w:ascii="Sakkal Majalla" w:eastAsia="Calibri" w:hAnsi="Sakkal Majalla" w:cs="Sakkal Majalla" w:hint="cs"/>
          <w:sz w:val="32"/>
          <w:szCs w:val="32"/>
          <w:rtl/>
          <w:lang w:val="en-US" w:bidi="ar-DZ"/>
        </w:rPr>
        <w:t>:</w:t>
      </w:r>
    </w:p>
    <w:p w:rsidR="006B59E3" w:rsidRPr="006B59E3" w:rsidRDefault="006B59E3" w:rsidP="006B59E3">
      <w:pPr>
        <w:bidi/>
        <w:jc w:val="mediumKashida"/>
        <w:rPr>
          <w:rFonts w:ascii="Sakkal Majalla" w:eastAsia="Calibri" w:hAnsi="Sakkal Majalla" w:cs="Sakkal Majalla"/>
          <w:sz w:val="32"/>
          <w:szCs w:val="32"/>
          <w:rtl/>
          <w:lang w:val="en-US" w:bidi="ar-DZ"/>
        </w:rPr>
      </w:pPr>
      <w:r w:rsidRPr="006B59E3">
        <w:rPr>
          <w:rFonts w:ascii="Sakkal Majalla" w:eastAsia="Calibri" w:hAnsi="Sakkal Majalla" w:cs="Sakkal Majalla"/>
          <w:sz w:val="32"/>
          <w:szCs w:val="32"/>
          <w:rtl/>
          <w:lang w:val="en-US" w:bidi="ar-DZ"/>
        </w:rPr>
        <w:t>تهدف هذه الدراسة إلى بيان أهمية تطبيق خطوات التدقيق الداخلي في تحسين جودة التدقيق داخل المؤسسات، وذلك وفقًا لمتطلبات معهد المدققين الداخليين (</w:t>
      </w:r>
      <w:r w:rsidRPr="006B59E3">
        <w:rPr>
          <w:rFonts w:ascii="Sakkal Majalla" w:eastAsia="Calibri" w:hAnsi="Sakkal Majalla" w:cs="Sakkal Majalla"/>
          <w:sz w:val="32"/>
          <w:szCs w:val="32"/>
          <w:lang w:val="en-US" w:bidi="ar-DZ"/>
        </w:rPr>
        <w:t>IIA</w:t>
      </w:r>
      <w:r w:rsidRPr="006B59E3">
        <w:rPr>
          <w:rFonts w:ascii="Sakkal Majalla" w:eastAsia="Calibri" w:hAnsi="Sakkal Majalla" w:cs="Sakkal Majalla"/>
          <w:sz w:val="32"/>
          <w:szCs w:val="32"/>
          <w:rtl/>
          <w:lang w:val="en-US" w:bidi="ar-DZ"/>
        </w:rPr>
        <w:t xml:space="preserve">). وقد سعت </w:t>
      </w:r>
      <w:r w:rsidRPr="006B59E3">
        <w:rPr>
          <w:rFonts w:ascii="Sakkal Majalla" w:eastAsia="Calibri" w:hAnsi="Sakkal Majalla" w:cs="Sakkal Majalla" w:hint="cs"/>
          <w:sz w:val="32"/>
          <w:szCs w:val="32"/>
          <w:rtl/>
          <w:lang w:val="en-US" w:bidi="ar-DZ"/>
        </w:rPr>
        <w:t>هذه الدراسة</w:t>
      </w:r>
      <w:r w:rsidRPr="006B59E3">
        <w:rPr>
          <w:rFonts w:ascii="Sakkal Majalla" w:eastAsia="Calibri" w:hAnsi="Sakkal Majalla" w:cs="Sakkal Majalla"/>
          <w:sz w:val="32"/>
          <w:szCs w:val="32"/>
          <w:rtl/>
          <w:lang w:val="en-US" w:bidi="ar-DZ"/>
        </w:rPr>
        <w:t xml:space="preserve"> إلى قياس أثر كل من مراحل التدقيق الثلاث (مرحلة التحضير، مرحلة التنفيذ، ومرحلة التقرير والمتابعة) على جودة التدقيق، مع التركيز على ضرورة الالتزام بالمعايير المهنية الدولية لضمان تحقيق الفعالية والشفافية. اعتمدت الدراسة على المنهج الوصفي التحليلي، وتم استخدام استبيان ميداني كأداة رئيسية لجمع البيانات من ع</w:t>
      </w:r>
      <w:r w:rsidRPr="006B59E3">
        <w:rPr>
          <w:rFonts w:ascii="Sakkal Majalla" w:eastAsia="Calibri" w:hAnsi="Sakkal Majalla" w:cs="Sakkal Majalla" w:hint="cs"/>
          <w:sz w:val="32"/>
          <w:szCs w:val="32"/>
          <w:rtl/>
          <w:lang w:val="en-US" w:bidi="ar-DZ"/>
        </w:rPr>
        <w:t xml:space="preserve">ينة لتشمل 33 موظف من </w:t>
      </w:r>
      <w:r w:rsidRPr="006B59E3">
        <w:rPr>
          <w:rFonts w:ascii="Sakkal Majalla" w:eastAsia="Calibri" w:hAnsi="Sakkal Majalla" w:cs="Sakkal Majalla"/>
          <w:sz w:val="32"/>
          <w:szCs w:val="32"/>
          <w:rtl/>
          <w:lang w:val="en-US" w:bidi="ar-DZ"/>
        </w:rPr>
        <w:t>المجمع الصناعي للبلاستيك والمطاط (</w:t>
      </w:r>
      <w:r w:rsidRPr="006B59E3">
        <w:rPr>
          <w:rFonts w:ascii="Sakkal Majalla" w:eastAsia="Calibri" w:hAnsi="Sakkal Majalla" w:cs="Sakkal Majalla"/>
          <w:sz w:val="32"/>
          <w:szCs w:val="32"/>
          <w:lang w:val="en-US" w:bidi="ar-DZ"/>
        </w:rPr>
        <w:t>ENPC</w:t>
      </w:r>
      <w:r w:rsidRPr="006B59E3">
        <w:rPr>
          <w:rFonts w:ascii="Sakkal Majalla" w:eastAsia="Calibri" w:hAnsi="Sakkal Majalla" w:cs="Sakkal Majalla"/>
          <w:sz w:val="32"/>
          <w:szCs w:val="32"/>
          <w:rtl/>
          <w:lang w:val="en-US" w:bidi="ar-DZ"/>
        </w:rPr>
        <w:t xml:space="preserve">) بولاية </w:t>
      </w:r>
      <w:r w:rsidRPr="006B59E3">
        <w:rPr>
          <w:rFonts w:ascii="Sakkal Majalla" w:eastAsia="Calibri" w:hAnsi="Sakkal Majalla" w:cs="Sakkal Majalla" w:hint="cs"/>
          <w:sz w:val="32"/>
          <w:szCs w:val="32"/>
          <w:rtl/>
          <w:lang w:val="en-US" w:bidi="ar-DZ"/>
        </w:rPr>
        <w:t>سطيف، مع</w:t>
      </w:r>
      <w:r w:rsidRPr="006B59E3">
        <w:rPr>
          <w:rFonts w:ascii="Sakkal Majalla" w:eastAsia="Calibri" w:hAnsi="Sakkal Majalla" w:cs="Sakkal Majalla"/>
          <w:sz w:val="32"/>
          <w:szCs w:val="32"/>
          <w:rtl/>
          <w:lang w:val="en-US" w:bidi="ar-DZ"/>
        </w:rPr>
        <w:t xml:space="preserve"> تحليل النتائج باستخدام برنامج </w:t>
      </w:r>
      <w:r w:rsidRPr="006B59E3">
        <w:rPr>
          <w:rFonts w:ascii="Sakkal Majalla" w:eastAsia="Calibri" w:hAnsi="Sakkal Majalla" w:cs="Sakkal Majalla"/>
          <w:sz w:val="32"/>
          <w:szCs w:val="32"/>
          <w:lang w:val="en-US" w:bidi="ar-DZ"/>
        </w:rPr>
        <w:t>SPSS</w:t>
      </w:r>
      <w:r w:rsidRPr="006B59E3">
        <w:rPr>
          <w:rFonts w:ascii="Sakkal Majalla" w:eastAsia="Calibri" w:hAnsi="Sakkal Majalla" w:cs="Sakkal Majalla"/>
          <w:sz w:val="32"/>
          <w:szCs w:val="32"/>
          <w:rtl/>
          <w:lang w:val="en-US" w:bidi="ar-DZ"/>
        </w:rPr>
        <w:t xml:space="preserve">. وقد توصلت الدراسة إلى أن تطبيق خطوات التدقيق الداخلي بشكل منهجي يسهم بشكل معنوي في تحسين جودة التدقيق، وأن التقيّد بمعايير </w:t>
      </w:r>
      <w:r w:rsidRPr="006B59E3">
        <w:rPr>
          <w:rFonts w:ascii="Sakkal Majalla" w:eastAsia="Calibri" w:hAnsi="Sakkal Majalla" w:cs="Sakkal Majalla"/>
          <w:sz w:val="32"/>
          <w:szCs w:val="32"/>
          <w:lang w:val="en-US" w:bidi="ar-DZ"/>
        </w:rPr>
        <w:t>IIA</w:t>
      </w:r>
      <w:r w:rsidRPr="006B59E3">
        <w:rPr>
          <w:rFonts w:ascii="Sakkal Majalla" w:eastAsia="Calibri" w:hAnsi="Sakkal Majalla" w:cs="Sakkal Majalla"/>
          <w:sz w:val="32"/>
          <w:szCs w:val="32"/>
          <w:rtl/>
          <w:lang w:val="en-US" w:bidi="ar-DZ"/>
        </w:rPr>
        <w:t xml:space="preserve"> يعزز من مصداقية نتائج التدقيق وفاعليتها، مما يدعم عملية اتخاذ القرار داخل المؤسسة ويقوي نظام الرقابة الداخلية</w:t>
      </w:r>
      <w:r w:rsidRPr="006B59E3">
        <w:rPr>
          <w:rFonts w:ascii="Sakkal Majalla" w:eastAsia="Calibri" w:hAnsi="Sakkal Majalla" w:cs="Sakkal Majalla" w:hint="cs"/>
          <w:sz w:val="32"/>
          <w:szCs w:val="32"/>
          <w:rtl/>
          <w:lang w:val="en-US" w:bidi="ar-DZ"/>
        </w:rPr>
        <w:t>.</w:t>
      </w:r>
    </w:p>
    <w:p w:rsidR="006B59E3" w:rsidRPr="006B59E3" w:rsidRDefault="006B59E3" w:rsidP="006B59E3">
      <w:pPr>
        <w:jc w:val="both"/>
        <w:rPr>
          <w:rFonts w:ascii="Times New Roman" w:eastAsia="Calibri" w:hAnsi="Times New Roman" w:cs="Times New Roman"/>
          <w:sz w:val="24"/>
          <w:szCs w:val="24"/>
          <w:lang w:val="en-US" w:bidi="ar-DZ"/>
        </w:rPr>
      </w:pPr>
      <w:r w:rsidRPr="006B59E3">
        <w:rPr>
          <w:rFonts w:ascii="Times New Roman" w:eastAsia="Calibri" w:hAnsi="Times New Roman" w:cs="Times New Roman"/>
          <w:sz w:val="28"/>
          <w:szCs w:val="28"/>
          <w:lang w:val="en-US" w:bidi="ar-DZ"/>
        </w:rPr>
        <w:t>Abstract</w:t>
      </w:r>
      <w:r w:rsidRPr="006B59E3">
        <w:rPr>
          <w:rFonts w:ascii="Times New Roman" w:eastAsia="Calibri" w:hAnsi="Times New Roman" w:cs="Times New Roman"/>
          <w:sz w:val="28"/>
          <w:szCs w:val="28"/>
          <w:rtl/>
          <w:lang w:val="en-US" w:bidi="ar-DZ"/>
        </w:rPr>
        <w:t>:</w:t>
      </w:r>
    </w:p>
    <w:p w:rsidR="006B59E3" w:rsidRPr="006B59E3" w:rsidRDefault="006B59E3" w:rsidP="006B59E3">
      <w:pPr>
        <w:jc w:val="both"/>
        <w:rPr>
          <w:rFonts w:ascii="Times New Roman" w:eastAsia="Calibri" w:hAnsi="Times New Roman" w:cs="Times New Roman"/>
          <w:sz w:val="28"/>
          <w:szCs w:val="28"/>
          <w:rtl/>
          <w:lang w:val="en-US" w:bidi="ar-DZ"/>
        </w:rPr>
      </w:pPr>
      <w:r w:rsidRPr="006B59E3">
        <w:rPr>
          <w:rFonts w:ascii="Times New Roman" w:eastAsia="Calibri" w:hAnsi="Times New Roman" w:cs="Times New Roman"/>
          <w:sz w:val="28"/>
          <w:szCs w:val="28"/>
          <w:lang w:val="en-US" w:bidi="ar-DZ"/>
        </w:rPr>
        <w:t>This study aims to highlight the importance of applying internal audit steps to improve audit quality within organizations, in accordance with the requirements of the Institute of Internal Auditors (IIA). The research sought to measure the impact of the three audit phases—planning, execution, and reporting/follow-up—</w:t>
      </w:r>
      <w:bookmarkStart w:id="0" w:name="_GoBack"/>
      <w:bookmarkEnd w:id="0"/>
      <w:r w:rsidRPr="006B59E3">
        <w:rPr>
          <w:rFonts w:ascii="Times New Roman" w:eastAsia="Calibri" w:hAnsi="Times New Roman" w:cs="Times New Roman"/>
          <w:sz w:val="28"/>
          <w:szCs w:val="28"/>
          <w:lang w:val="en-US" w:bidi="ar-DZ"/>
        </w:rPr>
        <w:t>on audit quality, with a particular focus on the need to adhere to international professional standards to ensure effectiveness and transparency.</w:t>
      </w:r>
    </w:p>
    <w:p w:rsidR="006B59E3" w:rsidRPr="006B59E3" w:rsidRDefault="006B59E3" w:rsidP="006B59E3">
      <w:pPr>
        <w:jc w:val="both"/>
        <w:rPr>
          <w:rFonts w:ascii="Times New Roman" w:eastAsia="Calibri" w:hAnsi="Times New Roman" w:cs="Times New Roman"/>
          <w:sz w:val="28"/>
          <w:szCs w:val="28"/>
          <w:rtl/>
          <w:lang w:val="en-US" w:bidi="ar-DZ"/>
        </w:rPr>
      </w:pPr>
      <w:r w:rsidRPr="006B59E3">
        <w:rPr>
          <w:rFonts w:ascii="Times New Roman" w:eastAsia="Calibri" w:hAnsi="Times New Roman" w:cs="Times New Roman"/>
          <w:sz w:val="28"/>
          <w:szCs w:val="28"/>
          <w:lang w:val="en-US" w:bidi="ar-DZ"/>
        </w:rPr>
        <w:t xml:space="preserve">The study adopted a descriptive-analytical approach, using a field questionnaire as the primary data collection tool. The sample consisted of 33 employees from the Industrial Complex of Plastics and Rubber (ENPC) in the province of </w:t>
      </w:r>
      <w:proofErr w:type="spellStart"/>
      <w:r w:rsidRPr="006B59E3">
        <w:rPr>
          <w:rFonts w:ascii="Times New Roman" w:eastAsia="Calibri" w:hAnsi="Times New Roman" w:cs="Times New Roman"/>
          <w:sz w:val="28"/>
          <w:szCs w:val="28"/>
          <w:lang w:val="en-US" w:bidi="ar-DZ"/>
        </w:rPr>
        <w:t>Sétif</w:t>
      </w:r>
      <w:proofErr w:type="spellEnd"/>
      <w:r w:rsidRPr="006B59E3">
        <w:rPr>
          <w:rFonts w:ascii="Times New Roman" w:eastAsia="Calibri" w:hAnsi="Times New Roman" w:cs="Times New Roman"/>
          <w:sz w:val="28"/>
          <w:szCs w:val="28"/>
          <w:lang w:val="en-US" w:bidi="ar-DZ"/>
        </w:rPr>
        <w:t xml:space="preserve">. The data </w:t>
      </w:r>
      <w:proofErr w:type="gramStart"/>
      <w:r w:rsidRPr="006B59E3">
        <w:rPr>
          <w:rFonts w:ascii="Times New Roman" w:eastAsia="Calibri" w:hAnsi="Times New Roman" w:cs="Times New Roman"/>
          <w:sz w:val="28"/>
          <w:szCs w:val="28"/>
          <w:lang w:val="en-US" w:bidi="ar-DZ"/>
        </w:rPr>
        <w:t>were analyzed</w:t>
      </w:r>
      <w:proofErr w:type="gramEnd"/>
      <w:r w:rsidRPr="006B59E3">
        <w:rPr>
          <w:rFonts w:ascii="Times New Roman" w:eastAsia="Calibri" w:hAnsi="Times New Roman" w:cs="Times New Roman"/>
          <w:sz w:val="28"/>
          <w:szCs w:val="28"/>
          <w:lang w:val="en-US" w:bidi="ar-DZ"/>
        </w:rPr>
        <w:t xml:space="preserve"> using the SPSS software.</w:t>
      </w:r>
    </w:p>
    <w:p w:rsidR="00AC60F1" w:rsidRPr="006B59E3" w:rsidRDefault="006B59E3" w:rsidP="006B59E3">
      <w:pPr>
        <w:rPr>
          <w:lang w:val="en-US"/>
        </w:rPr>
      </w:pPr>
      <w:r w:rsidRPr="006B59E3">
        <w:rPr>
          <w:rFonts w:ascii="Times New Roman" w:eastAsia="Calibri" w:hAnsi="Times New Roman" w:cs="Times New Roman"/>
          <w:sz w:val="28"/>
          <w:szCs w:val="28"/>
          <w:lang w:val="en-US" w:bidi="ar-DZ"/>
        </w:rPr>
        <w:t>The results revealed that the systematic application of internal audit steps significantly contributes to enhancing audit quality, and that compliance with IIA standards strengthens the credibility and effectiveness of audit results, thereby supporting the decision-making process within the organization and reinforcing the internal control system</w:t>
      </w:r>
    </w:p>
    <w:sectPr w:rsidR="00AC60F1" w:rsidRPr="006B5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E3"/>
    <w:rsid w:val="0055694C"/>
    <w:rsid w:val="00611D12"/>
    <w:rsid w:val="006B59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45FB3-C3EC-490E-AE93-4DD5017F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1641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2025-07-14T14:52:00Z</dcterms:created>
  <dcterms:modified xsi:type="dcterms:W3CDTF">2025-07-14T14:53:00Z</dcterms:modified>
</cp:coreProperties>
</file>