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7D05" w14:textId="77777777" w:rsidR="00D408E8" w:rsidRPr="00D408E8" w:rsidRDefault="00D408E8" w:rsidP="00EB713E">
      <w:pPr>
        <w:bidi/>
        <w:jc w:val="both"/>
        <w:rPr>
          <w:rFonts w:ascii="Sakkal Majalla" w:hAnsi="Sakkal Majalla" w:cs="Sakkal Majalla"/>
          <w:b/>
          <w:bCs/>
          <w:sz w:val="32"/>
          <w:szCs w:val="32"/>
        </w:rPr>
      </w:pPr>
      <w:r w:rsidRPr="00D408E8">
        <w:rPr>
          <w:rFonts w:ascii="Sakkal Majalla" w:hAnsi="Sakkal Majalla" w:cs="Sakkal Majalla"/>
          <w:b/>
          <w:bCs/>
          <w:sz w:val="32"/>
          <w:szCs w:val="32"/>
          <w:rtl/>
        </w:rPr>
        <w:t>الملخص</w:t>
      </w:r>
      <w:r w:rsidRPr="00D408E8">
        <w:rPr>
          <w:rFonts w:ascii="Sakkal Majalla" w:hAnsi="Sakkal Majalla" w:cs="Sakkal Majalla"/>
          <w:b/>
          <w:bCs/>
          <w:sz w:val="32"/>
          <w:szCs w:val="32"/>
        </w:rPr>
        <w:t>:</w:t>
      </w:r>
    </w:p>
    <w:p w14:paraId="10CF1444" w14:textId="33AB0A9B" w:rsidR="00D408E8" w:rsidRPr="00D408E8" w:rsidRDefault="00D408E8" w:rsidP="00EB713E">
      <w:pPr>
        <w:bidi/>
        <w:jc w:val="both"/>
        <w:rPr>
          <w:rFonts w:ascii="Sakkal Majalla" w:hAnsi="Sakkal Majalla" w:cs="Sakkal Majalla"/>
          <w:sz w:val="32"/>
          <w:szCs w:val="32"/>
        </w:rPr>
      </w:pPr>
      <w:r w:rsidRPr="00D408E8">
        <w:rPr>
          <w:rFonts w:ascii="Sakkal Majalla" w:hAnsi="Sakkal Majalla" w:cs="Sakkal Majalla"/>
          <w:sz w:val="32"/>
          <w:szCs w:val="32"/>
          <w:rtl/>
        </w:rPr>
        <w:t>تهدف هذه الدراسة إلى</w:t>
      </w:r>
      <w:r w:rsidR="00BA0BBB">
        <w:rPr>
          <w:rFonts w:ascii="Sakkal Majalla" w:hAnsi="Sakkal Majalla" w:cs="Sakkal Majalla"/>
          <w:sz w:val="32"/>
          <w:szCs w:val="32"/>
        </w:rPr>
        <w:t xml:space="preserve"> </w:t>
      </w:r>
      <w:r w:rsidR="008B0792">
        <w:rPr>
          <w:rFonts w:ascii="Sakkal Majalla" w:hAnsi="Sakkal Majalla" w:cs="Sakkal Majalla" w:hint="cs"/>
          <w:sz w:val="32"/>
          <w:szCs w:val="32"/>
          <w:rtl/>
        </w:rPr>
        <w:t>محاولة تحليل</w:t>
      </w:r>
      <w:r w:rsidRPr="00D408E8">
        <w:rPr>
          <w:rFonts w:ascii="Sakkal Majalla" w:hAnsi="Sakkal Majalla" w:cs="Sakkal Majalla"/>
          <w:sz w:val="32"/>
          <w:szCs w:val="32"/>
          <w:rtl/>
        </w:rPr>
        <w:t xml:space="preserve"> فعالية أدوات السياسة النقدية التي اعتمدها بنك الجزائر في تعقيم السيولة </w:t>
      </w:r>
      <w:r>
        <w:rPr>
          <w:rFonts w:ascii="Sakkal Majalla" w:hAnsi="Sakkal Majalla" w:cs="Sakkal Majalla" w:hint="cs"/>
          <w:sz w:val="32"/>
          <w:szCs w:val="32"/>
          <w:rtl/>
        </w:rPr>
        <w:t xml:space="preserve">البنكية </w:t>
      </w:r>
      <w:r w:rsidRPr="00D408E8">
        <w:rPr>
          <w:rFonts w:ascii="Sakkal Majalla" w:hAnsi="Sakkal Majalla" w:cs="Sakkal Majalla"/>
          <w:sz w:val="32"/>
          <w:szCs w:val="32"/>
          <w:rtl/>
        </w:rPr>
        <w:t>خلال الفترة 2000–2023، في ظل التقلبات الاقتصادية الناتجة عن تغير أسعار النفط</w:t>
      </w:r>
      <w:r w:rsidR="00EB713E">
        <w:rPr>
          <w:rFonts w:ascii="Sakkal Majalla" w:hAnsi="Sakkal Majalla" w:cs="Sakkal Majalla" w:hint="cs"/>
          <w:sz w:val="32"/>
          <w:szCs w:val="32"/>
          <w:rtl/>
        </w:rPr>
        <w:t xml:space="preserve"> فا</w:t>
      </w:r>
      <w:r w:rsidRPr="00D408E8">
        <w:rPr>
          <w:rFonts w:ascii="Sakkal Majalla" w:hAnsi="Sakkal Majalla" w:cs="Sakkal Majalla"/>
          <w:sz w:val="32"/>
          <w:szCs w:val="32"/>
          <w:rtl/>
        </w:rPr>
        <w:t>عتمدت الدراسة منهجا تحليليا لبحث الإطار النظري وتطور مؤشرات السيولة البنكية وتبين أن البنك لجا إلى أدوات تقليدية كـنسبة الاحتياطي الإلزامي وعمليات السوق المفتوحة للتحكم في فائض السيولة، وحققت هذه الأدوات نتائج نسبية، إلا أن ال</w:t>
      </w:r>
      <w:r w:rsidR="00373422">
        <w:rPr>
          <w:rFonts w:ascii="Sakkal Majalla" w:hAnsi="Sakkal Majalla" w:cs="Sakkal Majalla" w:hint="cs"/>
          <w:sz w:val="32"/>
          <w:szCs w:val="32"/>
          <w:rtl/>
        </w:rPr>
        <w:t xml:space="preserve">سياسة النقدية </w:t>
      </w:r>
      <w:r w:rsidRPr="00D408E8">
        <w:rPr>
          <w:rFonts w:ascii="Sakkal Majalla" w:hAnsi="Sakkal Majalla" w:cs="Sakkal Majalla"/>
          <w:sz w:val="32"/>
          <w:szCs w:val="32"/>
          <w:rtl/>
        </w:rPr>
        <w:t>سجلت تراجعا في فعاليتها بعد 2014 وضعفا في التنسيق مع السياسات المالية ومحدودية في استخدام الأدوات غير التقليدية</w:t>
      </w:r>
      <w:r w:rsidR="00EB713E">
        <w:rPr>
          <w:rFonts w:ascii="Sakkal Majalla" w:hAnsi="Sakkal Majalla" w:cs="Sakkal Majalla" w:hint="cs"/>
          <w:sz w:val="32"/>
          <w:szCs w:val="32"/>
          <w:rtl/>
        </w:rPr>
        <w:t xml:space="preserve"> وكما </w:t>
      </w:r>
      <w:r w:rsidRPr="00D408E8">
        <w:rPr>
          <w:rFonts w:ascii="Sakkal Majalla" w:hAnsi="Sakkal Majalla" w:cs="Sakkal Majalla"/>
          <w:sz w:val="32"/>
          <w:szCs w:val="32"/>
          <w:rtl/>
        </w:rPr>
        <w:t>توصي الدراسة بضرورة تحديث الأدوات النقدية وتعزيز استقلالية البنك المركزي وتكثيف التنسيق بين السياسات لتحقيق استقرار اقتصادي مستدام</w:t>
      </w:r>
      <w:r w:rsidRPr="00D408E8">
        <w:rPr>
          <w:rFonts w:ascii="Sakkal Majalla" w:hAnsi="Sakkal Majalla" w:cs="Sakkal Majalla"/>
          <w:sz w:val="32"/>
          <w:szCs w:val="32"/>
        </w:rPr>
        <w:t>.</w:t>
      </w:r>
    </w:p>
    <w:p w14:paraId="73493A75" w14:textId="77777777" w:rsidR="00281DA8" w:rsidRDefault="00D408E8" w:rsidP="00EB713E">
      <w:pPr>
        <w:bidi/>
        <w:jc w:val="both"/>
        <w:rPr>
          <w:rFonts w:ascii="Sakkal Majalla" w:hAnsi="Sakkal Majalla" w:cs="Sakkal Majalla"/>
          <w:sz w:val="32"/>
          <w:szCs w:val="32"/>
          <w:rtl/>
        </w:rPr>
      </w:pPr>
      <w:r w:rsidRPr="00D408E8">
        <w:rPr>
          <w:rFonts w:ascii="Sakkal Majalla" w:hAnsi="Sakkal Majalla" w:cs="Sakkal Majalla"/>
          <w:sz w:val="32"/>
          <w:szCs w:val="32"/>
          <w:rtl/>
        </w:rPr>
        <w:t>الكلمات المفتاحية: السياسة النقدية، تعقيم السيولة، بنك الجزائر، أدوات نقدية</w:t>
      </w:r>
      <w:r>
        <w:rPr>
          <w:rFonts w:ascii="Sakkal Majalla" w:hAnsi="Sakkal Majalla" w:cs="Sakkal Majalla" w:hint="cs"/>
          <w:sz w:val="32"/>
          <w:szCs w:val="32"/>
          <w:rtl/>
        </w:rPr>
        <w:t>.</w:t>
      </w:r>
    </w:p>
    <w:p w14:paraId="5B549ED3" w14:textId="77777777" w:rsidR="00603BA8" w:rsidRDefault="00603BA8" w:rsidP="00EB713E">
      <w:pPr>
        <w:bidi/>
        <w:jc w:val="both"/>
        <w:rPr>
          <w:rFonts w:ascii="Sakkal Majalla" w:hAnsi="Sakkal Majalla" w:cs="Sakkal Majalla"/>
          <w:sz w:val="32"/>
          <w:szCs w:val="32"/>
          <w:rtl/>
        </w:rPr>
      </w:pPr>
    </w:p>
    <w:p w14:paraId="585DFC76" w14:textId="77777777" w:rsidR="00603BA8" w:rsidRDefault="00603BA8" w:rsidP="00EB713E">
      <w:pPr>
        <w:bidi/>
        <w:jc w:val="both"/>
        <w:rPr>
          <w:rFonts w:ascii="Sakkal Majalla" w:hAnsi="Sakkal Majalla" w:cs="Sakkal Majalla"/>
          <w:sz w:val="32"/>
          <w:szCs w:val="32"/>
          <w:rtl/>
        </w:rPr>
      </w:pPr>
    </w:p>
    <w:p w14:paraId="28AB25B7" w14:textId="77777777" w:rsidR="00603BA8" w:rsidRDefault="00BF3757" w:rsidP="00EB713E">
      <w:pPr>
        <w:jc w:val="both"/>
        <w:rPr>
          <w:rFonts w:ascii="Times New Roman" w:hAnsi="Times New Roman" w:cs="Times New Roman"/>
          <w:b/>
          <w:bCs/>
          <w:sz w:val="28"/>
          <w:szCs w:val="28"/>
          <w:rtl/>
        </w:rPr>
      </w:pPr>
      <w:r w:rsidRPr="00BF3757">
        <w:rPr>
          <w:rFonts w:ascii="Times New Roman" w:hAnsi="Times New Roman" w:cs="Times New Roman"/>
          <w:b/>
          <w:bCs/>
          <w:sz w:val="28"/>
          <w:szCs w:val="28"/>
        </w:rPr>
        <w:t>Abstract :</w:t>
      </w:r>
    </w:p>
    <w:p w14:paraId="48D2B812" w14:textId="77777777" w:rsidR="002E0E08" w:rsidRDefault="002E0E08" w:rsidP="00EB713E">
      <w:pPr>
        <w:jc w:val="both"/>
        <w:rPr>
          <w:rFonts w:ascii="Times New Roman" w:hAnsi="Times New Roman" w:cs="Times New Roman"/>
          <w:sz w:val="28"/>
          <w:szCs w:val="28"/>
          <w:rtl/>
        </w:rPr>
      </w:pPr>
      <w:r w:rsidRPr="002E0E08">
        <w:rPr>
          <w:rFonts w:ascii="Times New Roman" w:hAnsi="Times New Roman" w:cs="Times New Roman"/>
          <w:sz w:val="28"/>
          <w:szCs w:val="28"/>
        </w:rPr>
        <w:t>This studyaims to assess the effectiveness of the monetarypolicytoolsadopted by the Bank of Algeria in sterilizingbankliquidityduring the period 2000–2023, in the context of economic fluctuations caused by oilpricevolatility. The studyemployed an analyticalmethod to examine the theoreticalframework and the evolution of liquidityindicators. It foundthat the central bankrelied on traditionaltoolssuch as requiredreserve ratios and open marketoperations to control liquiditysurpluses, achievingrelatively positive outcomes. However, the studynoted a decline in theireffectivenessafter 2014, weak coordination with fiscal policies, and limited use of non-traditional instruments. The studyrecommendsupdatingmonetarytools, enhancing the independence of the central bank, and strengthening coordination amongpolicies to achievesustainableeconomicstability.</w:t>
      </w:r>
    </w:p>
    <w:p w14:paraId="56EC552B" w14:textId="77777777" w:rsidR="002E0E08" w:rsidRPr="002E0E08" w:rsidRDefault="00603BA8" w:rsidP="00EB713E">
      <w:pPr>
        <w:jc w:val="both"/>
        <w:rPr>
          <w:rFonts w:ascii="Times New Roman" w:hAnsi="Times New Roman" w:cs="Times New Roman"/>
          <w:sz w:val="28"/>
          <w:szCs w:val="28"/>
          <w:rtl/>
        </w:rPr>
      </w:pPr>
      <w:r w:rsidRPr="002E0E08">
        <w:rPr>
          <w:rFonts w:ascii="Times New Roman" w:hAnsi="Times New Roman" w:cs="Times New Roman"/>
          <w:b/>
          <w:bCs/>
          <w:sz w:val="28"/>
          <w:szCs w:val="28"/>
        </w:rPr>
        <w:t>Keywords :</w:t>
      </w:r>
      <w:r w:rsidR="002E0E08" w:rsidRPr="002E0E08">
        <w:rPr>
          <w:rFonts w:ascii="Times New Roman" w:hAnsi="Times New Roman" w:cs="Times New Roman"/>
          <w:sz w:val="28"/>
          <w:szCs w:val="28"/>
        </w:rPr>
        <w:t>Monetarypolicy, liquiditysterilization, Bank of Algeria, monetary</w:t>
      </w:r>
      <w:r w:rsidR="00EB713E">
        <w:rPr>
          <w:rFonts w:ascii="Times New Roman" w:hAnsi="Times New Roman" w:cs="Times New Roman"/>
          <w:sz w:val="28"/>
          <w:szCs w:val="28"/>
        </w:rPr>
        <w:t>tools.</w:t>
      </w:r>
    </w:p>
    <w:p w14:paraId="438C292A" w14:textId="77777777" w:rsidR="00BF3757" w:rsidRDefault="00BF3757" w:rsidP="00BF3757">
      <w:pPr>
        <w:rPr>
          <w:rFonts w:ascii="Times New Roman" w:hAnsi="Times New Roman" w:cs="Times New Roman"/>
          <w:b/>
          <w:bCs/>
          <w:sz w:val="28"/>
          <w:szCs w:val="28"/>
          <w:rtl/>
        </w:rPr>
      </w:pPr>
    </w:p>
    <w:p w14:paraId="7314023A" w14:textId="77777777" w:rsidR="00BF3757" w:rsidRPr="00BF3757" w:rsidRDefault="00BF3757" w:rsidP="00BF3757">
      <w:pPr>
        <w:rPr>
          <w:rFonts w:ascii="Times New Roman" w:hAnsi="Times New Roman" w:cs="Times New Roman"/>
          <w:b/>
          <w:bCs/>
          <w:sz w:val="28"/>
          <w:szCs w:val="28"/>
        </w:rPr>
      </w:pPr>
    </w:p>
    <w:p w14:paraId="61A66055" w14:textId="77777777" w:rsidR="00D408E8" w:rsidRPr="00D408E8" w:rsidRDefault="00D408E8" w:rsidP="00603BA8">
      <w:pPr>
        <w:rPr>
          <w:rFonts w:ascii="Sakkal Majalla" w:hAnsi="Sakkal Majalla" w:cs="Sakkal Majalla"/>
          <w:sz w:val="32"/>
          <w:szCs w:val="32"/>
        </w:rPr>
      </w:pPr>
    </w:p>
    <w:sectPr w:rsidR="00D408E8" w:rsidRPr="00D408E8" w:rsidSect="00D408E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408E8"/>
    <w:rsid w:val="00264C57"/>
    <w:rsid w:val="00281DA8"/>
    <w:rsid w:val="002E0E08"/>
    <w:rsid w:val="00373422"/>
    <w:rsid w:val="00586256"/>
    <w:rsid w:val="00603BA8"/>
    <w:rsid w:val="008B0792"/>
    <w:rsid w:val="00975389"/>
    <w:rsid w:val="009B05BE"/>
    <w:rsid w:val="00BA0BBB"/>
    <w:rsid w:val="00BC222E"/>
    <w:rsid w:val="00BF3757"/>
    <w:rsid w:val="00C7012B"/>
    <w:rsid w:val="00D408E8"/>
    <w:rsid w:val="00DC63D9"/>
    <w:rsid w:val="00E411D4"/>
    <w:rsid w:val="00EB713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892D"/>
  <w15:docId w15:val="{D9E6434B-8227-46BA-BBBF-D6729DC6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2B"/>
  </w:style>
  <w:style w:type="paragraph" w:styleId="Titre1">
    <w:name w:val="heading 1"/>
    <w:basedOn w:val="Normal"/>
    <w:next w:val="Normal"/>
    <w:link w:val="Titre1Car"/>
    <w:uiPriority w:val="9"/>
    <w:qFormat/>
    <w:rsid w:val="00D408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D408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D408E8"/>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D408E8"/>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D408E8"/>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D408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08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08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08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08E8"/>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D408E8"/>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D408E8"/>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D408E8"/>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D408E8"/>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D408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08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08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08E8"/>
    <w:rPr>
      <w:rFonts w:eastAsiaTheme="majorEastAsia" w:cstheme="majorBidi"/>
      <w:color w:val="272727" w:themeColor="text1" w:themeTint="D8"/>
    </w:rPr>
  </w:style>
  <w:style w:type="paragraph" w:styleId="Titre">
    <w:name w:val="Title"/>
    <w:basedOn w:val="Normal"/>
    <w:next w:val="Normal"/>
    <w:link w:val="TitreCar"/>
    <w:uiPriority w:val="10"/>
    <w:qFormat/>
    <w:rsid w:val="00D40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08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08E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08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08E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408E8"/>
    <w:rPr>
      <w:i/>
      <w:iCs/>
      <w:color w:val="404040" w:themeColor="text1" w:themeTint="BF"/>
    </w:rPr>
  </w:style>
  <w:style w:type="paragraph" w:styleId="Paragraphedeliste">
    <w:name w:val="List Paragraph"/>
    <w:basedOn w:val="Normal"/>
    <w:uiPriority w:val="34"/>
    <w:qFormat/>
    <w:rsid w:val="00D408E8"/>
    <w:pPr>
      <w:ind w:left="720"/>
      <w:contextualSpacing/>
    </w:pPr>
  </w:style>
  <w:style w:type="character" w:styleId="Accentuationintense">
    <w:name w:val="Intense Emphasis"/>
    <w:basedOn w:val="Policepardfaut"/>
    <w:uiPriority w:val="21"/>
    <w:qFormat/>
    <w:rsid w:val="00D408E8"/>
    <w:rPr>
      <w:i/>
      <w:iCs/>
      <w:color w:val="365F91" w:themeColor="accent1" w:themeShade="BF"/>
    </w:rPr>
  </w:style>
  <w:style w:type="paragraph" w:styleId="Citationintense">
    <w:name w:val="Intense Quote"/>
    <w:basedOn w:val="Normal"/>
    <w:next w:val="Normal"/>
    <w:link w:val="CitationintenseCar"/>
    <w:uiPriority w:val="30"/>
    <w:qFormat/>
    <w:rsid w:val="00D408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D408E8"/>
    <w:rPr>
      <w:i/>
      <w:iCs/>
      <w:color w:val="365F91" w:themeColor="accent1" w:themeShade="BF"/>
    </w:rPr>
  </w:style>
  <w:style w:type="character" w:styleId="Rfrenceintense">
    <w:name w:val="Intense Reference"/>
    <w:basedOn w:val="Policepardfaut"/>
    <w:uiPriority w:val="32"/>
    <w:qFormat/>
    <w:rsid w:val="00D408E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264</Words>
  <Characters>1454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djihane</dc:creator>
  <cp:keywords/>
  <dc:description/>
  <cp:lastModifiedBy>djihane</cp:lastModifiedBy>
  <cp:revision>12</cp:revision>
  <cp:lastPrinted>2025-06-03T00:03:00Z</cp:lastPrinted>
  <dcterms:created xsi:type="dcterms:W3CDTF">2025-06-02T14:34:00Z</dcterms:created>
  <dcterms:modified xsi:type="dcterms:W3CDTF">2025-07-14T13:10:00Z</dcterms:modified>
</cp:coreProperties>
</file>