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100" w:rsidRDefault="00C80100" w:rsidP="00C80100">
      <w:pPr>
        <w:bidi/>
      </w:pPr>
      <w:bookmarkStart w:id="0" w:name="_GoBack"/>
      <w:bookmarkEnd w:id="0"/>
      <w:r>
        <w:rPr>
          <w:rFonts w:ascii="Times New Roman" w:hAnsiTheme="majorBidi" w:cstheme="majorBidi"/>
          <w:noProof/>
          <w:sz w:val="28"/>
          <w:szCs w:val="28"/>
          <w:rtl/>
          <w:lang w:val="fr-FR" w:eastAsia="fr-FR" w:bidi="ar-SA"/>
        </w:rPr>
        <mc:AlternateContent>
          <mc:Choice Requires="wps">
            <w:drawing>
              <wp:anchor distT="0" distB="0" distL="114300" distR="114300" simplePos="0" relativeHeight="251659264" behindDoc="1" locked="0" layoutInCell="1" allowOverlap="1" wp14:anchorId="0F0EB026" wp14:editId="41884FC6">
                <wp:simplePos x="0" y="0"/>
                <wp:positionH relativeFrom="margin">
                  <wp:posOffset>0</wp:posOffset>
                </wp:positionH>
                <wp:positionV relativeFrom="paragraph">
                  <wp:posOffset>276225</wp:posOffset>
                </wp:positionV>
                <wp:extent cx="6097905" cy="3338195"/>
                <wp:effectExtent l="0" t="0" r="17145" b="14605"/>
                <wp:wrapTight wrapText="bothSides">
                  <wp:wrapPolygon edited="0">
                    <wp:start x="1417" y="0"/>
                    <wp:lineTo x="945" y="247"/>
                    <wp:lineTo x="67" y="1602"/>
                    <wp:lineTo x="0" y="2589"/>
                    <wp:lineTo x="0" y="18983"/>
                    <wp:lineTo x="67" y="20092"/>
                    <wp:lineTo x="1080" y="21571"/>
                    <wp:lineTo x="1350" y="21571"/>
                    <wp:lineTo x="20244" y="21571"/>
                    <wp:lineTo x="20514" y="21571"/>
                    <wp:lineTo x="21526" y="20092"/>
                    <wp:lineTo x="21593" y="18983"/>
                    <wp:lineTo x="21593" y="2589"/>
                    <wp:lineTo x="21526" y="1602"/>
                    <wp:lineTo x="20649" y="247"/>
                    <wp:lineTo x="20176" y="0"/>
                    <wp:lineTo x="1417" y="0"/>
                  </wp:wrapPolygon>
                </wp:wrapTight>
                <wp:docPr id="45" name="Rectangle : coins arrondis 45" descr="الملخص:&#10;هدفت هذه الدراسة إلى إبراز دور أدوات التحليل المالي في تقييم الأداء المالي والاقتصادي لمؤسسة &quot;براند أرينا&quot; خلال الفترة 2021–2023، من خلال تحليل مجموعة من النسب المالية المتعلقة بالتوازن المالي، السيولة المديونية، النشاط، الربحية، والمردودية، إلى جانب مؤشرات التدفقات النقدية. أظهرت النتائج وجود موارد دائمة إيجابية ورأس مال عامل موجب، يقابله احتياج مرتفع في بعض السنوات، مع تراجع في رقم الأعمال وضعف في هوامش الربح والقيمة المضافة. كما بينت المؤشرات المالية أن المؤسسة تواجه بعض القيود في السيولة الفورية وضعفا في كفاءة إدارة الأصول والمخزون، مقابل استقرار نسبي في الملاءة المالية. وتبرز هذه النتائج أهمية التحليل المالي كأداة توفر معطيات كمية يمكن الاستفادة منها نظريا في توجيه السياسات المالية نحو تحقيق الاستدامة والنمو.&#10;">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w16se="http://schemas.microsoft.com/office/word/2015/wordml/symex" xmlns:adec="http://schemas.microsoft.com/office/drawing/2017/decorative" val="0"/>
                    </a:ext>
                  </a:extLst>
                </wp:docPr>
                <wp:cNvGraphicFramePr/>
                <a:graphic xmlns:a="http://schemas.openxmlformats.org/drawingml/2006/main">
                  <a:graphicData uri="http://schemas.microsoft.com/office/word/2010/wordprocessingShape">
                    <wps:wsp>
                      <wps:cNvSpPr/>
                      <wps:spPr>
                        <a:xfrm>
                          <a:off x="0" y="0"/>
                          <a:ext cx="6097905" cy="3338195"/>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C80100" w:rsidRPr="001E0738" w:rsidRDefault="00C80100" w:rsidP="00C80100">
                            <w:pPr>
                              <w:bidi/>
                              <w:spacing w:before="0" w:after="0"/>
                              <w:jc w:val="both"/>
                              <w:rPr>
                                <w:rFonts w:ascii="Sakkal Majalla" w:hAnsi="Sakkal Majalla" w:cs="Sakkal Majalla"/>
                                <w:b/>
                                <w:bCs/>
                                <w:sz w:val="32"/>
                                <w:szCs w:val="32"/>
                                <w:rtl/>
                              </w:rPr>
                            </w:pPr>
                            <w:r w:rsidRPr="001E0738">
                              <w:rPr>
                                <w:rFonts w:ascii="Sakkal Majalla" w:hAnsi="Sakkal Majalla" w:cs="Sakkal Majalla"/>
                                <w:b/>
                                <w:bCs/>
                                <w:sz w:val="32"/>
                                <w:szCs w:val="32"/>
                                <w:rtl/>
                                <w:lang w:bidi="ar-SA"/>
                              </w:rPr>
                              <w:t>الملخص</w:t>
                            </w:r>
                            <w:r w:rsidRPr="001E0738">
                              <w:rPr>
                                <w:rFonts w:ascii="Sakkal Majalla" w:hAnsi="Sakkal Majalla" w:cs="Sakkal Majalla"/>
                                <w:b/>
                                <w:bCs/>
                                <w:sz w:val="32"/>
                                <w:szCs w:val="32"/>
                              </w:rPr>
                              <w:t>:</w:t>
                            </w:r>
                          </w:p>
                          <w:p w:rsidR="00C80100" w:rsidRPr="008F2220" w:rsidRDefault="00C80100" w:rsidP="00C80100">
                            <w:pPr>
                              <w:bidi/>
                              <w:spacing w:before="0" w:after="0"/>
                              <w:jc w:val="both"/>
                              <w:rPr>
                                <w:rFonts w:ascii="Sakkal Majalla" w:hAnsi="Sakkal Majalla" w:cs="Sakkal Majalla"/>
                                <w:sz w:val="32"/>
                                <w:szCs w:val="32"/>
                              </w:rPr>
                            </w:pPr>
                            <w:r w:rsidRPr="008F2220">
                              <w:rPr>
                                <w:rFonts w:ascii="Sakkal Majalla" w:hAnsi="Sakkal Majalla" w:cs="Sakkal Majalla"/>
                                <w:sz w:val="32"/>
                                <w:szCs w:val="32"/>
                                <w:rtl/>
                                <w:lang w:bidi="ar-SA"/>
                              </w:rPr>
                              <w:t>هدفت هذه الدراسة إلى إبراز دور أدوات التحليل المالي في تقييم الأداء المالي والاقتصادي لمؤسسة "براند أرينا" خلال الفترة 2021–2023، من خلال تحليل مجموعة من النسب المالية المتعلقة بالتوازن المالي، السيولة المديونية، النشاط، الربحية، والمردودية، إلى جانب مؤشرات التدفقات النقدية. أظهرت النتائج وجود موارد دائمة إيجابية ورأس مال عامل موجب، يقابله احتياج مرتفع في بعض السنوات، مع تراجع في رقم الأعمال وضعف في هوامش الربح والقيمة المضافة. كما بينت المؤشرات المالية أن المؤسسة تواجه بعض القيود في السيولة الفورية وضعفا في كفاءة إدارة الأصول والمخزون، مقابل استقرار نسبي في الملاءة المالية. وتبرز هذه النتائج أهمية التحليل المالي كأداة توفر معطيات كمية يمكن الاستفادة منها نظريا في توجيه السياسات المالية نحو تحقيق الاستدامة والنمو</w:t>
                            </w:r>
                            <w:r w:rsidRPr="008F2220">
                              <w:rPr>
                                <w:rFonts w:ascii="Sakkal Majalla" w:hAnsi="Sakkal Majalla" w:cs="Sakkal Majalla"/>
                                <w:sz w:val="32"/>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0EB026" id="Rectangle : coins arrondis 45" o:spid="_x0000_s1026" alt="الملخص:&#10;هدفت هذه الدراسة إلى إبراز دور أدوات التحليل المالي في تقييم الأداء المالي والاقتصادي لمؤسسة &quot;براند أرينا&quot; خلال الفترة 2021–2023، من خلال تحليل مجموعة من النسب المالية المتعلقة بالتوازن المالي، السيولة المديونية، النشاط، الربحية، والمردودية، إلى جانب مؤشرات التدفقات النقدية. أظهرت النتائج وجود موارد دائمة إيجابية ورأس مال عامل موجب، يقابله احتياج مرتفع في بعض السنوات، مع تراجع في رقم الأعمال وضعف في هوامش الربح والقيمة المضافة. كما بينت المؤشرات المالية أن المؤسسة تواجه بعض القيود في السيولة الفورية وضعفا في كفاءة إدارة الأصول والمخزون، مقابل استقرار نسبي في الملاءة المالية. وتبرز هذه النتائج أهمية التحليل المالي كأداة توفر معطيات كمية يمكن الاستفادة منها نظريا في توجيه السياسات المالية نحو تحقيق الاستدامة والنمو.&#10;" style="position:absolute;left:0;text-align:left;margin-left:0;margin-top:21.75pt;width:480.15pt;height:262.8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" fillcolor="white [3201]" strokecolor="black [3213]" strokeweight="1pt">
                <v:stroke joinstyle="miter"/>
                <v:textbox>
                  <w:txbxContent>
                    <w:p w:rsidR="00C80100" w:rsidRPr="001E0738" w:rsidRDefault="00C80100" w:rsidP="00C80100">
                      <w:pPr>
                        <w:bidi/>
                        <w:spacing w:before="0" w:after="0"/>
                        <w:jc w:val="both"/>
                        <w:rPr>
                          <w:rFonts w:ascii="Sakkal Majalla" w:hAnsi="Sakkal Majalla" w:cs="Sakkal Majalla"/>
                          <w:b/>
                          <w:bCs/>
                          <w:sz w:val="32"/>
                          <w:szCs w:val="32"/>
                          <w:rtl/>
                        </w:rPr>
                      </w:pPr>
                      <w:r w:rsidRPr="001E0738">
                        <w:rPr>
                          <w:rFonts w:ascii="Sakkal Majalla" w:hAnsi="Sakkal Majalla" w:cs="Sakkal Majalla"/>
                          <w:b/>
                          <w:bCs/>
                          <w:sz w:val="32"/>
                          <w:szCs w:val="32"/>
                          <w:rtl/>
                          <w:lang w:bidi="ar-SA"/>
                        </w:rPr>
                        <w:t>الملخص</w:t>
                      </w:r>
                      <w:r w:rsidRPr="001E0738">
                        <w:rPr>
                          <w:rFonts w:ascii="Sakkal Majalla" w:hAnsi="Sakkal Majalla" w:cs="Sakkal Majalla"/>
                          <w:b/>
                          <w:bCs/>
                          <w:sz w:val="32"/>
                          <w:szCs w:val="32"/>
                        </w:rPr>
                        <w:t>:</w:t>
                      </w:r>
                    </w:p>
                    <w:p w:rsidR="00C80100" w:rsidRPr="008F2220" w:rsidRDefault="00C80100" w:rsidP="00C80100">
                      <w:pPr>
                        <w:bidi/>
                        <w:spacing w:before="0" w:after="0"/>
                        <w:jc w:val="both"/>
                        <w:rPr>
                          <w:rFonts w:ascii="Sakkal Majalla" w:hAnsi="Sakkal Majalla" w:cs="Sakkal Majalla"/>
                          <w:sz w:val="32"/>
                          <w:szCs w:val="32"/>
                        </w:rPr>
                      </w:pPr>
                      <w:r w:rsidRPr="008F2220">
                        <w:rPr>
                          <w:rFonts w:ascii="Sakkal Majalla" w:hAnsi="Sakkal Majalla" w:cs="Sakkal Majalla"/>
                          <w:sz w:val="32"/>
                          <w:szCs w:val="32"/>
                          <w:rtl/>
                          <w:lang w:bidi="ar-SA"/>
                        </w:rPr>
                        <w:t>هدفت هذه الدراسة إلى إبراز دور أدوات التحليل المالي في تقييم الأداء المالي والاقتصادي لمؤسسة "براند أرينا" خلال الفترة 2021–2023، من خلال تحليل مجموعة من النسب المالية المتعلقة بالتوازن المالي، السيولة المديونية، النشاط، الربحية، والمردودية، إلى جانب مؤشرات التدفقات النقدية. أظهرت النتائج وجود موارد دائمة إيجابية ورأس مال عامل موجب، يقابله احتياج مرتفع في بعض السنوات، مع تراجع في رقم الأعمال وضعف في هوامش الربح والقيمة المضافة. كما بينت المؤشرات المالية أن المؤسسة تواجه بعض القيود في السيولة الفورية وضعفا في كفاءة إدارة الأصول والمخزون، مقابل استقرار نسبي في الملاءة المالية. وتبرز هذه النتائج أهمية التحليل المالي كأداة توفر معطيات كمية يمكن الاستفادة منها نظريا في توجيه السياسات المالية نحو تحقيق الاستدامة والنمو</w:t>
                      </w:r>
                      <w:r w:rsidRPr="008F2220">
                        <w:rPr>
                          <w:rFonts w:ascii="Sakkal Majalla" w:hAnsi="Sakkal Majalla" w:cs="Sakkal Majalla"/>
                          <w:sz w:val="32"/>
                          <w:szCs w:val="32"/>
                        </w:rPr>
                        <w:t>.</w:t>
                      </w:r>
                    </w:p>
                  </w:txbxContent>
                </v:textbox>
                <w10:wrap type="tight" anchorx="margin"/>
              </v:roundrect>
            </w:pict>
          </mc:Fallback>
        </mc:AlternateContent>
      </w:r>
    </w:p>
    <w:p w:rsidR="00C80100" w:rsidRPr="00C80100" w:rsidRDefault="00C80100" w:rsidP="00C80100">
      <w:pPr>
        <w:bidi/>
      </w:pPr>
    </w:p>
    <w:p w:rsidR="00C80100" w:rsidRPr="00C80100" w:rsidRDefault="00C80100" w:rsidP="00C80100">
      <w:pPr>
        <w:bidi/>
      </w:pPr>
      <w:r>
        <w:rPr>
          <w:rFonts w:ascii="Times New Roman" w:hAnsiTheme="majorBidi" w:cstheme="majorBidi"/>
          <w:noProof/>
          <w:sz w:val="28"/>
          <w:szCs w:val="28"/>
          <w:rtl/>
          <w:lang w:val="fr-FR" w:eastAsia="fr-FR" w:bidi="ar-SA"/>
        </w:rPr>
        <mc:AlternateContent>
          <mc:Choice Requires="wps">
            <w:drawing>
              <wp:anchor distT="0" distB="0" distL="114300" distR="114300" simplePos="0" relativeHeight="251661312" behindDoc="0" locked="0" layoutInCell="1" allowOverlap="1" wp14:anchorId="4FA35FEB" wp14:editId="49A38CA4">
                <wp:simplePos x="0" y="0"/>
                <wp:positionH relativeFrom="margin">
                  <wp:posOffset>0</wp:posOffset>
                </wp:positionH>
                <wp:positionV relativeFrom="paragraph">
                  <wp:posOffset>0</wp:posOffset>
                </wp:positionV>
                <wp:extent cx="6107502" cy="5417389"/>
                <wp:effectExtent l="0" t="0" r="26670" b="12065"/>
                <wp:wrapNone/>
                <wp:docPr id="46" name="Rectangle : coins arrondis 46"/>
                <wp:cNvGraphicFramePr/>
                <a:graphic xmlns:a="http://schemas.openxmlformats.org/drawingml/2006/main">
                  <a:graphicData uri="http://schemas.microsoft.com/office/word/2010/wordprocessingShape">
                    <wps:wsp>
                      <wps:cNvSpPr/>
                      <wps:spPr>
                        <a:xfrm>
                          <a:off x="0" y="0"/>
                          <a:ext cx="6107502" cy="5417389"/>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C80100" w:rsidRPr="001E0738" w:rsidRDefault="00C80100" w:rsidP="00C80100">
                            <w:pPr>
                              <w:spacing w:before="0" w:after="0"/>
                              <w:jc w:val="both"/>
                              <w:rPr>
                                <w:rFonts w:asciiTheme="majorBidi" w:hAnsiTheme="majorBidi" w:cstheme="majorBidi"/>
                                <w:b/>
                                <w:bCs/>
                                <w:sz w:val="28"/>
                                <w:szCs w:val="28"/>
                              </w:rPr>
                            </w:pPr>
                            <w:r w:rsidRPr="001E0738">
                              <w:rPr>
                                <w:rFonts w:asciiTheme="majorBidi" w:hAnsiTheme="majorBidi" w:cstheme="majorBidi"/>
                                <w:b/>
                                <w:bCs/>
                                <w:sz w:val="28"/>
                                <w:szCs w:val="28"/>
                              </w:rPr>
                              <w:t>Abstract:</w:t>
                            </w:r>
                          </w:p>
                          <w:p w:rsidR="00C80100" w:rsidRDefault="00C80100" w:rsidP="00C80100">
                            <w:pPr>
                              <w:spacing w:before="0" w:after="0"/>
                              <w:jc w:val="both"/>
                              <w:rPr>
                                <w:rFonts w:asciiTheme="majorBidi" w:hAnsiTheme="majorBidi" w:cstheme="majorBidi"/>
                                <w:sz w:val="28"/>
                                <w:szCs w:val="28"/>
                              </w:rPr>
                            </w:pPr>
                            <w:r w:rsidRPr="008F2220">
                              <w:rPr>
                                <w:rFonts w:asciiTheme="majorBidi" w:hAnsiTheme="majorBidi" w:cstheme="majorBidi"/>
                                <w:sz w:val="28"/>
                                <w:szCs w:val="28"/>
                              </w:rPr>
                              <w:t xml:space="preserve">This study aimed to highlight the role of financial analysis tools in evaluating the financial and economic performance of the company "Brand Arena" during the period 2021–2023, by analyzing a set of financial ratios related to financial balance, liquidity, indebtedness, activity, profitability, and return, in addition to cash flow indicators. The results showed the presence of positive permanent resources and a positive working capital, offset by a high need for funds in some years, along with a decline in turnover and weak profit margins and </w:t>
                            </w:r>
                            <w:proofErr w:type="gramStart"/>
                            <w:r w:rsidRPr="008F2220">
                              <w:rPr>
                                <w:rFonts w:asciiTheme="majorBidi" w:hAnsiTheme="majorBidi" w:cstheme="majorBidi"/>
                                <w:sz w:val="28"/>
                                <w:szCs w:val="28"/>
                              </w:rPr>
                              <w:t>added value</w:t>
                            </w:r>
                            <w:proofErr w:type="gramEnd"/>
                            <w:r w:rsidRPr="008F2220">
                              <w:rPr>
                                <w:rFonts w:asciiTheme="majorBidi" w:hAnsiTheme="majorBidi" w:cstheme="majorBidi"/>
                                <w:sz w:val="28"/>
                                <w:szCs w:val="28"/>
                              </w:rPr>
                              <w:t xml:space="preserve">. The financial indicators also revealed that the company faces certain limitations in immediate liquidity and inefficiencies in managing assets and inventory, while maintaining relative financial independence. These findings underscore the importance of financial analysis as a tool that provides quantitative </w:t>
                            </w:r>
                            <w:r w:rsidRPr="008F2220">
                              <w:rPr>
                                <w:rFonts w:asciiTheme="majorBidi" w:hAnsiTheme="majorBidi" w:cstheme="majorBidi"/>
                                <w:sz w:val="28"/>
                                <w:szCs w:val="28"/>
                              </w:rPr>
                              <w:t>data, which</w:t>
                            </w:r>
                            <w:r w:rsidRPr="008F2220">
                              <w:rPr>
                                <w:rFonts w:asciiTheme="majorBidi" w:hAnsiTheme="majorBidi" w:cstheme="majorBidi"/>
                                <w:sz w:val="28"/>
                                <w:szCs w:val="28"/>
                              </w:rPr>
                              <w:t xml:space="preserve"> can theoretically be used to guide financial policies toward achieving sustainability and growth.</w:t>
                            </w:r>
                          </w:p>
                          <w:p w:rsidR="00C80100" w:rsidRPr="008F2220" w:rsidRDefault="00C80100" w:rsidP="00C80100">
                            <w:pPr>
                              <w:spacing w:before="0" w:after="0"/>
                              <w:jc w:val="both"/>
                              <w:rPr>
                                <w:rFonts w:asciiTheme="majorBidi" w:hAnsiTheme="majorBidi" w:cstheme="majorBidi"/>
                                <w:sz w:val="28"/>
                                <w:szCs w:val="28"/>
                              </w:rPr>
                            </w:pPr>
                            <w:r w:rsidRPr="008F2220">
                              <w:rPr>
                                <w:rFonts w:asciiTheme="majorBidi" w:hAnsiTheme="majorBidi" w:cstheme="majorBidi"/>
                                <w:b/>
                                <w:bCs/>
                                <w:sz w:val="28"/>
                                <w:szCs w:val="28"/>
                              </w:rPr>
                              <w:t>Key words</w:t>
                            </w:r>
                            <w:r w:rsidRPr="008F2220">
                              <w:rPr>
                                <w:rFonts w:asciiTheme="majorBidi" w:hAnsiTheme="majorBidi" w:cstheme="majorBidi"/>
                                <w:sz w:val="28"/>
                                <w:szCs w:val="28"/>
                              </w:rPr>
                              <w:t>: Financial Analysis Tools, Financial Performance, Economic Performance</w:t>
                            </w:r>
                          </w:p>
                          <w:p w:rsidR="00C80100" w:rsidRPr="008F2220" w:rsidRDefault="00C80100" w:rsidP="00C80100">
                            <w:pPr>
                              <w:spacing w:before="0" w:after="0"/>
                              <w:jc w:val="both"/>
                              <w:rPr>
                                <w:rFonts w:asciiTheme="majorBidi" w:hAnsiTheme="majorBidi" w:cstheme="majorBidi"/>
                                <w:sz w:val="28"/>
                                <w:szCs w:val="28"/>
                              </w:rPr>
                            </w:pPr>
                            <w:r w:rsidRPr="008F2220">
                              <w:rPr>
                                <w:rFonts w:asciiTheme="majorBidi" w:hAnsiTheme="majorBidi" w:cstheme="majorBidi"/>
                                <w:sz w:val="28"/>
                                <w:szCs w:val="28"/>
                              </w:rPr>
                              <w:t>Financial Ratios, Cash Flow Analysis, Financial Statements.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A35FEB" id="Rectangle : coins arrondis 46" o:spid="_x0000_s1027" style="position:absolute;left:0;text-align:left;margin-left:0;margin-top:0;width:480.9pt;height:42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" fillcolor="white [3201]" strokecolor="#70ad47 [3209]" strokeweight="1pt">
                <v:stroke joinstyle="miter"/>
                <v:textbox>
                  <w:txbxContent>
                    <w:p w:rsidR="00C80100" w:rsidRPr="001E0738" w:rsidRDefault="00C80100" w:rsidP="00C80100">
                      <w:pPr>
                        <w:spacing w:before="0" w:after="0"/>
                        <w:jc w:val="both"/>
                        <w:rPr>
                          <w:rFonts w:asciiTheme="majorBidi" w:hAnsiTheme="majorBidi" w:cstheme="majorBidi"/>
                          <w:b/>
                          <w:bCs/>
                          <w:sz w:val="28"/>
                          <w:szCs w:val="28"/>
                        </w:rPr>
                      </w:pPr>
                      <w:r w:rsidRPr="001E0738">
                        <w:rPr>
                          <w:rFonts w:asciiTheme="majorBidi" w:hAnsiTheme="majorBidi" w:cstheme="majorBidi"/>
                          <w:b/>
                          <w:bCs/>
                          <w:sz w:val="28"/>
                          <w:szCs w:val="28"/>
                        </w:rPr>
                        <w:t>Abstract:</w:t>
                      </w:r>
                    </w:p>
                    <w:p w:rsidR="00C80100" w:rsidRDefault="00C80100" w:rsidP="00C80100">
                      <w:pPr>
                        <w:spacing w:before="0" w:after="0"/>
                        <w:jc w:val="both"/>
                        <w:rPr>
                          <w:rFonts w:asciiTheme="majorBidi" w:hAnsiTheme="majorBidi" w:cstheme="majorBidi"/>
                          <w:sz w:val="28"/>
                          <w:szCs w:val="28"/>
                        </w:rPr>
                      </w:pPr>
                      <w:r w:rsidRPr="008F2220">
                        <w:rPr>
                          <w:rFonts w:asciiTheme="majorBidi" w:hAnsiTheme="majorBidi" w:cstheme="majorBidi"/>
                          <w:sz w:val="28"/>
                          <w:szCs w:val="28"/>
                        </w:rPr>
                        <w:t xml:space="preserve">This study aimed to highlight the role of financial analysis tools in evaluating the financial and economic performance of the company "Brand Arena" during the period 2021–2023, by analyzing a set of financial ratios related to financial balance, liquidity, indebtedness, activity, profitability, and return, in addition to cash flow indicators. The results showed the presence of positive permanent resources and a positive working capital, offset by a high need for funds in some years, along with a decline in turnover and weak profit margins and </w:t>
                      </w:r>
                      <w:proofErr w:type="gramStart"/>
                      <w:r w:rsidRPr="008F2220">
                        <w:rPr>
                          <w:rFonts w:asciiTheme="majorBidi" w:hAnsiTheme="majorBidi" w:cstheme="majorBidi"/>
                          <w:sz w:val="28"/>
                          <w:szCs w:val="28"/>
                        </w:rPr>
                        <w:t>added value</w:t>
                      </w:r>
                      <w:proofErr w:type="gramEnd"/>
                      <w:r w:rsidRPr="008F2220">
                        <w:rPr>
                          <w:rFonts w:asciiTheme="majorBidi" w:hAnsiTheme="majorBidi" w:cstheme="majorBidi"/>
                          <w:sz w:val="28"/>
                          <w:szCs w:val="28"/>
                        </w:rPr>
                        <w:t xml:space="preserve">. The financial indicators also revealed that the company faces certain limitations in immediate liquidity and inefficiencies in managing assets and inventory, while maintaining relative financial independence. These findings underscore the importance of financial analysis as a tool that provides quantitative </w:t>
                      </w:r>
                      <w:r w:rsidRPr="008F2220">
                        <w:rPr>
                          <w:rFonts w:asciiTheme="majorBidi" w:hAnsiTheme="majorBidi" w:cstheme="majorBidi"/>
                          <w:sz w:val="28"/>
                          <w:szCs w:val="28"/>
                        </w:rPr>
                        <w:t>data, which</w:t>
                      </w:r>
                      <w:r w:rsidRPr="008F2220">
                        <w:rPr>
                          <w:rFonts w:asciiTheme="majorBidi" w:hAnsiTheme="majorBidi" w:cstheme="majorBidi"/>
                          <w:sz w:val="28"/>
                          <w:szCs w:val="28"/>
                        </w:rPr>
                        <w:t xml:space="preserve"> can theoretically be used to guide financial policies toward achieving sustainability and growth.</w:t>
                      </w:r>
                    </w:p>
                    <w:p w:rsidR="00C80100" w:rsidRPr="008F2220" w:rsidRDefault="00C80100" w:rsidP="00C80100">
                      <w:pPr>
                        <w:spacing w:before="0" w:after="0"/>
                        <w:jc w:val="both"/>
                        <w:rPr>
                          <w:rFonts w:asciiTheme="majorBidi" w:hAnsiTheme="majorBidi" w:cstheme="majorBidi"/>
                          <w:sz w:val="28"/>
                          <w:szCs w:val="28"/>
                        </w:rPr>
                      </w:pPr>
                      <w:r w:rsidRPr="008F2220">
                        <w:rPr>
                          <w:rFonts w:asciiTheme="majorBidi" w:hAnsiTheme="majorBidi" w:cstheme="majorBidi"/>
                          <w:b/>
                          <w:bCs/>
                          <w:sz w:val="28"/>
                          <w:szCs w:val="28"/>
                        </w:rPr>
                        <w:t>Key words</w:t>
                      </w:r>
                      <w:r w:rsidRPr="008F2220">
                        <w:rPr>
                          <w:rFonts w:asciiTheme="majorBidi" w:hAnsiTheme="majorBidi" w:cstheme="majorBidi"/>
                          <w:sz w:val="28"/>
                          <w:szCs w:val="28"/>
                        </w:rPr>
                        <w:t>: Financial Analysis Tools, Financial Performance, Economic Performance</w:t>
                      </w:r>
                    </w:p>
                    <w:p w:rsidR="00C80100" w:rsidRPr="008F2220" w:rsidRDefault="00C80100" w:rsidP="00C80100">
                      <w:pPr>
                        <w:spacing w:before="0" w:after="0"/>
                        <w:jc w:val="both"/>
                        <w:rPr>
                          <w:rFonts w:asciiTheme="majorBidi" w:hAnsiTheme="majorBidi" w:cstheme="majorBidi"/>
                          <w:sz w:val="28"/>
                          <w:szCs w:val="28"/>
                        </w:rPr>
                      </w:pPr>
                      <w:r w:rsidRPr="008F2220">
                        <w:rPr>
                          <w:rFonts w:asciiTheme="majorBidi" w:hAnsiTheme="majorBidi" w:cstheme="majorBidi"/>
                          <w:sz w:val="28"/>
                          <w:szCs w:val="28"/>
                        </w:rPr>
                        <w:t>Financial Ratios, Cash Flow Analysis, Financial Statements.</w:t>
                      </w:r>
                    </w:p>
                  </w:txbxContent>
                </v:textbox>
                <w10:wrap anchorx="margin"/>
              </v:roundrect>
            </w:pict>
          </mc:Fallback>
        </mc:AlternateContent>
      </w:r>
    </w:p>
    <w:p w:rsidR="00C80100" w:rsidRPr="00C80100" w:rsidRDefault="00C80100" w:rsidP="00C80100">
      <w:pPr>
        <w:bidi/>
      </w:pPr>
    </w:p>
    <w:p w:rsidR="00C80100" w:rsidRPr="00C80100" w:rsidRDefault="00C80100" w:rsidP="00C80100">
      <w:pPr>
        <w:bidi/>
      </w:pPr>
    </w:p>
    <w:p w:rsidR="00C80100" w:rsidRPr="00C80100" w:rsidRDefault="00C80100" w:rsidP="00C80100">
      <w:pPr>
        <w:bidi/>
      </w:pPr>
    </w:p>
    <w:p w:rsidR="00C80100" w:rsidRPr="00C80100" w:rsidRDefault="00C80100" w:rsidP="00C80100">
      <w:pPr>
        <w:bidi/>
      </w:pPr>
    </w:p>
    <w:p w:rsidR="00C80100" w:rsidRPr="00C80100" w:rsidRDefault="00C80100" w:rsidP="00C80100">
      <w:pPr>
        <w:bidi/>
      </w:pPr>
    </w:p>
    <w:p w:rsidR="00C80100" w:rsidRPr="00C80100" w:rsidRDefault="00C80100" w:rsidP="00C80100">
      <w:pPr>
        <w:bidi/>
      </w:pPr>
    </w:p>
    <w:p w:rsidR="00C80100" w:rsidRPr="00C80100" w:rsidRDefault="00C80100" w:rsidP="00C80100">
      <w:pPr>
        <w:bidi/>
      </w:pPr>
    </w:p>
    <w:p w:rsidR="00C80100" w:rsidRPr="00C80100" w:rsidRDefault="00C80100" w:rsidP="00C80100">
      <w:pPr>
        <w:bidi/>
      </w:pPr>
    </w:p>
    <w:p w:rsidR="00C80100" w:rsidRPr="00C80100" w:rsidRDefault="00C80100" w:rsidP="00C80100">
      <w:pPr>
        <w:bidi/>
      </w:pPr>
    </w:p>
    <w:p w:rsidR="00C75A0D" w:rsidRPr="00C80100" w:rsidRDefault="00C75A0D" w:rsidP="00C80100">
      <w:pPr>
        <w:bidi/>
      </w:pPr>
    </w:p>
    <w:sectPr w:rsidR="00C75A0D" w:rsidRPr="00C801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3C1"/>
    <w:rsid w:val="009573C1"/>
    <w:rsid w:val="00C75A0D"/>
    <w:rsid w:val="00C801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1461A-75FA-4D87-8C26-DC6BC4571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00"/>
    <w:pPr>
      <w:spacing w:before="200" w:after="200" w:line="276" w:lineRule="auto"/>
    </w:pPr>
    <w:rPr>
      <w:rFonts w:eastAsiaTheme="minorEastAsia"/>
      <w:sz w:val="20"/>
      <w:szCs w:val="20"/>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Words>
  <Characters>13</Characters>
  <Application>Microsoft Office Word</Application>
  <DocSecurity>0</DocSecurity>
  <Lines>1</Lines>
  <Paragraphs>1</Paragraphs>
  <ScaleCrop>false</ScaleCrop>
  <Company/>
  <LinksUpToDate>false</LinksUpToDate>
  <CharactersWithSpaces>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2025-07-14T17:02:00Z</dcterms:created>
  <dcterms:modified xsi:type="dcterms:W3CDTF">2025-07-14T17:03:00Z</dcterms:modified>
</cp:coreProperties>
</file>