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91" w:rsidRPr="006A7433" w:rsidRDefault="007C0791" w:rsidP="007C0791">
      <w:pPr>
        <w:tabs>
          <w:tab w:val="center" w:pos="4677"/>
        </w:tabs>
        <w:bidi/>
        <w:spacing w:line="360" w:lineRule="auto"/>
        <w:ind w:firstLine="707"/>
        <w:jc w:val="lowKashida"/>
        <w:rPr>
          <w:rFonts w:ascii="Times New Roman" w:hAnsi="Times New Roman" w:cs="Sakkal Majalla"/>
          <w:bCs/>
          <w:sz w:val="28"/>
          <w:szCs w:val="32"/>
          <w:rtl/>
          <w:lang w:bidi="ar-DZ"/>
        </w:rPr>
      </w:pPr>
      <w:r w:rsidRPr="006A7433">
        <w:rPr>
          <w:rFonts w:ascii="Times New Roman" w:hAnsi="Times New Roman" w:cs="Sakkal Majalla"/>
          <w:bCs/>
          <w:noProof/>
          <w:sz w:val="28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9DABF" wp14:editId="6D298CE1">
                <wp:simplePos x="0" y="0"/>
                <wp:positionH relativeFrom="margin">
                  <wp:posOffset>-430530</wp:posOffset>
                </wp:positionH>
                <wp:positionV relativeFrom="paragraph">
                  <wp:posOffset>-508910</wp:posOffset>
                </wp:positionV>
                <wp:extent cx="6786562" cy="4514850"/>
                <wp:effectExtent l="0" t="0" r="14605" b="19050"/>
                <wp:wrapNone/>
                <wp:docPr id="103974" name="Rectangle : coins arrondis 103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562" cy="4514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 : coins arrondis 103974" o:spid="_x0000_s1026" style="position:absolute;margin-left:-33.9pt;margin-top:-40.05pt;width:534.35pt;height:35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4ygAIAADcFAAAOAAAAZHJzL2Uyb0RvYy54bWysVN1O2zAUvp+0d7B8P9J0bYGIFFUgpkkI&#10;EDBxbRy7jeb4eMdu0+5p9iw82Y6dNEUM7WLajWP7fOfvy3d8dr5tDNso9DXYkudHI86UlVDVdlny&#10;b49Xn04480HYShiwquQ75fn5/OOHs9YVagwrMJVCRkGsL1pX8lUIrsgyL1eqEf4InLJk1ICNCHTE&#10;ZVahaCl6Y7LxaDTLWsDKIUjlPd1edkY+T/G1VjLcau1VYKbkVFtIK6b1Oa7Z/EwUSxRuVcu+DPEP&#10;VTSitpR0CHUpgmBrrP8I1dQSwYMORxKaDLSupUo9UDf56E03DyvhVOqFyPFuoMn/v7DyZnOHrK7o&#10;340+nx5POLOiof90T8wJuzTq5VfBJNTWM4EItqo965FEXet8QREe3B32J0/byMNWYxO/1CHbJrp3&#10;A91qG5iky9nxyWw6G3MmyTaZ5pOTafoh2cHdoQ9fFDQsbkqOsLZVLC1xLTbXPlBewu9xMaWFq9qY&#10;eB/L6wpKu7AzKgKMvVeaeqYSxilQUpu6MMg2gnRSfc+jLihsQkYXTREHp/w9JxP2Tj02uqmkwMFx&#10;9J7jIduAThnBhsGxqS3g3511h9933fUa236Gake/GKHTvnfyqiYyr4UPdwJJ7DQWNMDhlhZtoC05&#10;9DvOVoA/37uPeNIgWTlraXhK7n+sBSrOzFdL6jzNJ5M4bekwmR6P6YCvLc+vLXbdXADxntNT4WTa&#10;Rnww+61GaJ5ozhcxK5mElZS75DLg/nARuqGml0KqxSLBaMKcCNf2wckYPLIadfK4fRLoekUFEuMN&#10;7AdNFG801WGjp4XFOoCuk+AOvPZ803QmwfQvSRz/1+eEOrx3898AAAD//wMAUEsDBBQABgAIAAAA&#10;IQAABUeT3gAAAAwBAAAPAAAAZHJzL2Rvd25yZXYueG1sTI/BTsMwEETvSPyDtUjcWrsghRDiVBFS&#10;DpxQA+LsxtskamxH8TZN/p7tCW6zmtHM23y/uEHMOMU+eA27rQKBvgm2962G769qk4KIZLw1Q/Co&#10;YcUI++L+LjeZDVd/wLmmVnCJj5nR0BGNmZSx6dCZuA0jevZOYXKG+JxaaSdz5XI3yCelEulM73mh&#10;MyO+d9ic64vTUMUyrvR5qNIPOs/1fFqr8qfW+vFhKd9AEC70F4YbPqNDwUzHcPE2ikHDJnlhdGKR&#10;qh2IW0Ip9QriqCF5ZiGLXP5/ovgFAAD//wMAUEsBAi0AFAAGAAgAAAAhALaDOJL+AAAA4QEAABMA&#10;AAAAAAAAAAAAAAAAAAAAAFtDb250ZW50X1R5cGVzXS54bWxQSwECLQAUAAYACAAAACEAOP0h/9YA&#10;AACUAQAACwAAAAAAAAAAAAAAAAAvAQAAX3JlbHMvLnJlbHNQSwECLQAUAAYACAAAACEAzVMuMoAC&#10;AAA3BQAADgAAAAAAAAAAAAAAAAAuAgAAZHJzL2Uyb0RvYy54bWxQSwECLQAUAAYACAAAACEAAAVH&#10;k94AAAAMAQAADwAAAAAAAAAAAAAAAADaBAAAZHJzL2Rvd25yZXYueG1sUEsFBgAAAAAEAAQA8wAA&#10;AOUFAAAAAA==&#10;" filled="f" strokecolor="black [3200]" strokeweight="2pt">
                <w10:wrap anchorx="margin"/>
              </v:roundrect>
            </w:pict>
          </mc:Fallback>
        </mc:AlternateContent>
      </w:r>
      <w:r w:rsidRPr="006A7433">
        <w:rPr>
          <w:rFonts w:ascii="Times New Roman" w:hAnsi="Times New Roman" w:cs="Sakkal Majalla"/>
          <w:bCs/>
          <w:sz w:val="28"/>
          <w:szCs w:val="32"/>
          <w:rtl/>
          <w:lang w:bidi="ar-DZ"/>
        </w:rPr>
        <w:t>ا</w:t>
      </w:r>
      <w:bookmarkStart w:id="0" w:name="_GoBack"/>
      <w:bookmarkEnd w:id="0"/>
      <w:r w:rsidRPr="006A7433">
        <w:rPr>
          <w:rFonts w:ascii="Times New Roman" w:hAnsi="Times New Roman" w:cs="Sakkal Majalla"/>
          <w:bCs/>
          <w:sz w:val="28"/>
          <w:szCs w:val="32"/>
          <w:rtl/>
          <w:lang w:bidi="ar-DZ"/>
        </w:rPr>
        <w:t>لملخص:</w:t>
      </w:r>
    </w:p>
    <w:p w:rsidR="007C0791" w:rsidRPr="007412B3" w:rsidRDefault="007C0791" w:rsidP="007C0791">
      <w:pPr>
        <w:bidi/>
        <w:ind w:firstLine="707"/>
        <w:jc w:val="lowKashida"/>
        <w:rPr>
          <w:rFonts w:ascii="Times New Roman" w:eastAsia="Calibri" w:hAnsi="Times New Roman" w:cs="Sakkal Majalla"/>
          <w:b/>
          <w:sz w:val="28"/>
          <w:szCs w:val="32"/>
        </w:rPr>
      </w:pPr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 xml:space="preserve">يتناول </w:t>
      </w:r>
      <w:r w:rsidRPr="007412B3">
        <w:rPr>
          <w:rFonts w:ascii="Times New Roman" w:eastAsia="Calibri" w:hAnsi="Times New Roman" w:cs="Sakkal Majalla" w:hint="cs"/>
          <w:b/>
          <w:sz w:val="28"/>
          <w:szCs w:val="32"/>
          <w:rtl/>
        </w:rPr>
        <w:t>موضوعنا</w:t>
      </w:r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 xml:space="preserve"> دور التأمين في إدارة المخاطر المالية داخل المؤسسات الصغيرة والمتوسطة، من خلال دراسة حالة للمديرية الجهوية للشركة الوطنية للتأمينات</w:t>
      </w:r>
      <w:r w:rsidRPr="007412B3">
        <w:rPr>
          <w:rFonts w:ascii="Times New Roman" w:eastAsia="Calibri" w:hAnsi="Times New Roman" w:cs="Sakkal Majalla"/>
          <w:b/>
          <w:sz w:val="28"/>
          <w:szCs w:val="32"/>
        </w:rPr>
        <w:t xml:space="preserve"> SAA. </w:t>
      </w:r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 xml:space="preserve">يهدف البحث إلى إبراز كيفية مساهمة التأمين في التخفيف من الخسائر المالية الناتجة عن المخاطر المختلفة التي </w:t>
      </w:r>
      <w:proofErr w:type="gramStart"/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>تواجه</w:t>
      </w:r>
      <w:proofErr w:type="gramEnd"/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 xml:space="preserve"> هذه المؤسسات. </w:t>
      </w:r>
      <w:proofErr w:type="gramStart"/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>تم</w:t>
      </w:r>
      <w:proofErr w:type="gramEnd"/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 xml:space="preserve"> استخدام منهج وصفي مع تحليل وثائق وعقود حقيقية من مؤسسة تنشط في مجال إعادة تدوير البلاستيك. </w:t>
      </w:r>
      <w:proofErr w:type="gramStart"/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>أظهرت</w:t>
      </w:r>
      <w:proofErr w:type="gramEnd"/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 xml:space="preserve"> النتائج وجود علاقة وثيقة بين التأمين واستقرار المؤسسات، حيث يوفر التأمين حماية مالية تساعد على استمرارية النشاط دون توقف كبير. أوصى البحث بتوسيع التغطية التأمينية، وتوعية المؤسسات بأهمية التأمين، </w:t>
      </w:r>
      <w:proofErr w:type="gramStart"/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>وتحسين</w:t>
      </w:r>
      <w:proofErr w:type="gramEnd"/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 xml:space="preserve"> آليات التعويض</w:t>
      </w:r>
      <w:r w:rsidRPr="007412B3">
        <w:rPr>
          <w:rFonts w:ascii="Times New Roman" w:eastAsia="Calibri" w:hAnsi="Times New Roman" w:cs="Sakkal Majalla"/>
          <w:b/>
          <w:sz w:val="28"/>
          <w:szCs w:val="32"/>
        </w:rPr>
        <w:t>.</w:t>
      </w:r>
    </w:p>
    <w:p w:rsidR="007C0791" w:rsidRPr="007412B3" w:rsidRDefault="007C0791" w:rsidP="007C0791">
      <w:pPr>
        <w:bidi/>
        <w:ind w:firstLine="707"/>
        <w:jc w:val="lowKashida"/>
        <w:rPr>
          <w:rFonts w:ascii="Times New Roman" w:eastAsia="Calibri" w:hAnsi="Times New Roman" w:cs="Sakkal Majalla"/>
          <w:b/>
          <w:sz w:val="28"/>
          <w:szCs w:val="32"/>
        </w:rPr>
      </w:pPr>
      <w:r w:rsidRPr="007412B3">
        <w:rPr>
          <w:rFonts w:ascii="Times New Roman" w:eastAsia="Calibri" w:hAnsi="Times New Roman" w:cs="Sakkal Majalla"/>
          <w:b/>
          <w:bCs/>
          <w:sz w:val="28"/>
          <w:szCs w:val="32"/>
          <w:rtl/>
        </w:rPr>
        <w:t>الكلمات المفتاحية</w:t>
      </w:r>
      <w:r w:rsidRPr="007412B3">
        <w:rPr>
          <w:rFonts w:ascii="Times New Roman" w:eastAsia="Calibri" w:hAnsi="Times New Roman" w:cs="Sakkal Majalla"/>
          <w:b/>
          <w:bCs/>
          <w:sz w:val="28"/>
          <w:szCs w:val="32"/>
        </w:rPr>
        <w:t>:</w:t>
      </w:r>
      <w:r w:rsidRPr="007412B3">
        <w:rPr>
          <w:rFonts w:ascii="Times New Roman" w:eastAsia="Calibri" w:hAnsi="Times New Roman" w:cs="Sakkal Majalla"/>
          <w:bCs/>
          <w:sz w:val="28"/>
          <w:szCs w:val="32"/>
        </w:rPr>
        <w:t xml:space="preserve"> </w:t>
      </w:r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 xml:space="preserve">التأمين، إدارة المخاطر، المؤسسات الصغيرة والمتوسطة، </w:t>
      </w:r>
      <w:r w:rsidRPr="007412B3">
        <w:rPr>
          <w:rFonts w:ascii="Times New Roman" w:eastAsia="Calibri" w:hAnsi="Times New Roman" w:cs="Sakkal Majalla"/>
          <w:b/>
          <w:sz w:val="28"/>
          <w:szCs w:val="32"/>
        </w:rPr>
        <w:t>SAA</w:t>
      </w:r>
      <w:r w:rsidRPr="007412B3">
        <w:rPr>
          <w:rFonts w:ascii="Times New Roman" w:eastAsia="Calibri" w:hAnsi="Times New Roman" w:cs="Sakkal Majalla"/>
          <w:b/>
          <w:sz w:val="28"/>
          <w:szCs w:val="32"/>
          <w:rtl/>
        </w:rPr>
        <w:t>، التعويض، الخطر</w:t>
      </w:r>
      <w:r w:rsidRPr="007412B3">
        <w:rPr>
          <w:rFonts w:ascii="Times New Roman" w:eastAsia="Calibri" w:hAnsi="Times New Roman" w:cs="Sakkal Majalla"/>
          <w:b/>
          <w:sz w:val="28"/>
          <w:szCs w:val="32"/>
        </w:rPr>
        <w:t>.</w:t>
      </w:r>
    </w:p>
    <w:p w:rsidR="007C0791" w:rsidRPr="006A7433" w:rsidRDefault="007C0791" w:rsidP="007C0791">
      <w:pPr>
        <w:bidi/>
        <w:ind w:firstLine="707"/>
        <w:jc w:val="lowKashida"/>
        <w:rPr>
          <w:rFonts w:ascii="Times New Roman" w:eastAsia="Calibri" w:hAnsi="Times New Roman" w:cs="Sakkal Majalla"/>
          <w:sz w:val="28"/>
          <w:szCs w:val="32"/>
        </w:rPr>
      </w:pPr>
    </w:p>
    <w:p w:rsidR="007C0791" w:rsidRDefault="007C0791" w:rsidP="007C0791">
      <w:pPr>
        <w:bidi/>
        <w:ind w:firstLine="707"/>
        <w:jc w:val="lowKashida"/>
        <w:rPr>
          <w:rFonts w:ascii="Times New Roman" w:eastAsia="Calibri" w:hAnsi="Times New Roman" w:cs="Sakkal Majalla" w:hint="cs"/>
          <w:sz w:val="28"/>
          <w:szCs w:val="32"/>
          <w:rtl/>
        </w:rPr>
      </w:pPr>
    </w:p>
    <w:p w:rsidR="007C0791" w:rsidRPr="006A7433" w:rsidRDefault="007C0791" w:rsidP="007C0791">
      <w:pPr>
        <w:bidi/>
        <w:ind w:firstLine="707"/>
        <w:jc w:val="lowKashida"/>
        <w:rPr>
          <w:rFonts w:ascii="Times New Roman" w:eastAsia="Calibri" w:hAnsi="Times New Roman" w:cs="Sakkal Majalla"/>
          <w:sz w:val="28"/>
          <w:szCs w:val="32"/>
        </w:rPr>
      </w:pPr>
      <w:r w:rsidRPr="006A7433">
        <w:rPr>
          <w:rFonts w:ascii="Times New Roman" w:hAnsi="Times New Roman" w:cs="Sakkal Majalla"/>
          <w:bCs/>
          <w:noProof/>
          <w:sz w:val="28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469FE2" wp14:editId="0B7066B7">
                <wp:simplePos x="0" y="0"/>
                <wp:positionH relativeFrom="margin">
                  <wp:align>center</wp:align>
                </wp:positionH>
                <wp:positionV relativeFrom="margin">
                  <wp:posOffset>4778584</wp:posOffset>
                </wp:positionV>
                <wp:extent cx="6786245" cy="4882515"/>
                <wp:effectExtent l="0" t="0" r="14605" b="13335"/>
                <wp:wrapNone/>
                <wp:docPr id="103975" name="Rectangle : coins arrondis 103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562" cy="488271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3975" o:spid="_x0000_s1026" style="position:absolute;margin-left:0;margin-top:376.25pt;width:534.35pt;height:384.45pt;z-index:-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WdfgIAADcFAAAOAAAAZHJzL2Uyb0RvYy54bWysVM1u2zAMvg/YOwi6r469NEmNOkXQosOA&#10;oivaDj2rspQYk0WNUv72NHuWPdko2XGKrthh2EUWxY8U+fmjzi92rWEbhb4BW/H8ZMSZshLqxi4r&#10;/vXx+sOMMx+ErYUBqyq+V55fzN+/O9+6UhWwAlMrZJTE+nLrKr4KwZVZ5uVKtcKfgFOWnBqwFYFM&#10;XGY1ii1lb01WjEaTbAtYOwSpvKfTq87J5ym/1kqGL1p7FZipONUW0oppfY5rNj8X5RKFWzWyL0P8&#10;QxWtaCxdOqS6EkGwNTZ/pGobieBBhxMJbQZaN1KlHqibfPSqm4eVcCr1QuR4N9Dk/19aebu5Q9bU&#10;9O9GH8+mp5xZ0dJ/uifmhF0a9etnySQ01jOBCLZuPOuRRN3W+ZIyPLg77C1P28jDTmMbv9Qh2yW6&#10;9wPdaheYpMPJdDY5nRScSfKNZ7Nimhfxh2THcIc+fFLQsripOMLa1rG0xLXY3PjQ4Q+4eKWF68aY&#10;eB7L6wpKu7A3KgKMvVeaeqYSipQoqU1dGmQbQTqpv+V9GQkZQzRlHILyt4JMOAT12BimkgKHwNFb&#10;gcfbBnS6EWwYAtvGAv49WHf4Q9ddr7HtZ6j39IsROu17J68bIvNG+HAnkMROY0EDHL7Qog1sKw79&#10;jrMV4I+3ziOeNEhezrY0PBX339cCFWfmsyV1nuXjcZy2ZIxPpwUZ+NLz/NJj1+0lEO85PRVOpm3E&#10;B3PYaoT2ieZ8EW8ll7CS7q64DHgwLkM31PRSSLVYJBhNmBPhxj44GZNHVqNOHndPAl2vqEBivIXD&#10;oInylaY6bIy0sFgH0E0S3JHXnm+azqTb/iWJ4//STqjjezf/DQAA//8DAFBLAwQUAAYACAAAACEA&#10;mB5PN94AAAAKAQAADwAAAGRycy9kb3ducmV2LnhtbEyPwW6DMBBE75X6D9ZW6q0xQSVBFBOhShx6&#10;qkKrnh28ARS8RnhD4O/rnNrbrGY18yY/LHYQM06+d6Rgu4lAIDXO9NQq+P6qXlIQnjUZPThCBSt6&#10;OBSPD7nOjLvREeeaWxFCyGdaQcc8ZlL6pkOr/caNSME7u8lqDufUSjPpWwi3g4yjaCet7ik0dHrE&#10;9w6bS321Cipf+pU/j1X6wZe5ns9rVf7USj0/LeUbCMaF/57hjh/QoQhMJ3cl48WgIAxhBfskTkDc&#10;7WiX7kGcgkri7SvIIpf/JxS/AAAA//8DAFBLAQItABQABgAIAAAAIQC2gziS/gAAAOEBAAATAAAA&#10;AAAAAAAAAAAAAAAAAABbQ29udGVudF9UeXBlc10ueG1sUEsBAi0AFAAGAAgAAAAhADj9If/WAAAA&#10;lAEAAAsAAAAAAAAAAAAAAAAALwEAAF9yZWxzLy5yZWxzUEsBAi0AFAAGAAgAAAAhAAzLlZ1+AgAA&#10;NwUAAA4AAAAAAAAAAAAAAAAALgIAAGRycy9lMm9Eb2MueG1sUEsBAi0AFAAGAAgAAAAhAJgeTzfe&#10;AAAACgEAAA8AAAAAAAAAAAAAAAAA2AQAAGRycy9kb3ducmV2LnhtbFBLBQYAAAAABAAEAPMAAADj&#10;BQAAAAA=&#10;" filled="f" strokecolor="black [3200]" strokeweight="2pt">
                <w10:wrap anchorx="margin" anchory="margin"/>
              </v:roundrect>
            </w:pict>
          </mc:Fallback>
        </mc:AlternateContent>
      </w:r>
    </w:p>
    <w:p w:rsidR="007C0791" w:rsidRPr="006A7433" w:rsidRDefault="007C0791" w:rsidP="007C0791">
      <w:pPr>
        <w:tabs>
          <w:tab w:val="center" w:pos="4677"/>
        </w:tabs>
        <w:spacing w:line="360" w:lineRule="auto"/>
        <w:ind w:firstLine="567"/>
        <w:rPr>
          <w:rFonts w:ascii="Times New Roman" w:hAnsi="Times New Roman" w:cs="Sakkal Majalla"/>
          <w:b/>
          <w:bCs/>
          <w:sz w:val="28"/>
          <w:szCs w:val="34"/>
          <w:rtl/>
          <w:lang w:val="en"/>
        </w:rPr>
      </w:pPr>
      <w:r w:rsidRPr="006A7433">
        <w:rPr>
          <w:rFonts w:ascii="Times New Roman" w:hAnsi="Times New Roman" w:cs="Sakkal Majalla"/>
          <w:b/>
          <w:bCs/>
          <w:sz w:val="28"/>
          <w:szCs w:val="34"/>
          <w:lang w:val="en"/>
        </w:rPr>
        <w:t xml:space="preserve">Summary: </w:t>
      </w:r>
    </w:p>
    <w:p w:rsidR="007C0791" w:rsidRPr="007412B3" w:rsidRDefault="007C0791" w:rsidP="007C0791">
      <w:pPr>
        <w:tabs>
          <w:tab w:val="center" w:pos="4677"/>
        </w:tabs>
        <w:spacing w:line="360" w:lineRule="auto"/>
        <w:ind w:firstLine="567"/>
        <w:jc w:val="lowKashida"/>
        <w:rPr>
          <w:rFonts w:ascii="Times New Roman" w:hAnsi="Times New Roman" w:cs="Sakkal Majalla"/>
          <w:bCs/>
          <w:sz w:val="28"/>
          <w:szCs w:val="34"/>
          <w:lang w:val="en-GB"/>
        </w:rPr>
      </w:pPr>
      <w:r w:rsidRPr="007412B3">
        <w:rPr>
          <w:rFonts w:ascii="Times New Roman" w:hAnsi="Times New Roman" w:cs="Sakkal Majalla"/>
          <w:bCs/>
          <w:sz w:val="28"/>
          <w:szCs w:val="34"/>
          <w:lang w:val="en-GB"/>
        </w:rPr>
        <w:t>This study explores the role of insurance in managing financial risks in small and medium enterprises (SMEs), through a case study of the Regional Directorate of the National Insurance Company (SAA). It aims to show how insurance helps reduce financial losses caused by various risks. Using a descriptive-analytical method, the research analysed real contracts and expert reports from a plastic recycling SME. The findings highlight a strong link between insurance and institutional stability, as insurance provides financial protection that supports business continuity. The study recommends expanding insurance coverage, raising SMEs' awareness, and improving compensation processes.</w:t>
      </w:r>
    </w:p>
    <w:p w:rsidR="00AB2DB0" w:rsidRDefault="007C0791" w:rsidP="007C0791">
      <w:r w:rsidRPr="007412B3">
        <w:rPr>
          <w:rFonts w:ascii="Times New Roman" w:hAnsi="Times New Roman" w:cs="Sakkal Majalla"/>
          <w:b/>
          <w:bCs/>
          <w:sz w:val="28"/>
          <w:szCs w:val="34"/>
          <w:lang w:val="en-GB"/>
        </w:rPr>
        <w:t>Keywords:</w:t>
      </w:r>
      <w:r w:rsidRPr="007412B3">
        <w:rPr>
          <w:rFonts w:ascii="Times New Roman" w:hAnsi="Times New Roman" w:cs="Sakkal Majalla"/>
          <w:bCs/>
          <w:sz w:val="28"/>
          <w:szCs w:val="34"/>
          <w:lang w:val="en-GB"/>
        </w:rPr>
        <w:t xml:space="preserve"> Insurance, Risk Management, SMEs</w:t>
      </w:r>
    </w:p>
    <w:sectPr w:rsidR="00AB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91"/>
    <w:rsid w:val="00501560"/>
    <w:rsid w:val="00781A1E"/>
    <w:rsid w:val="007C0791"/>
    <w:rsid w:val="00904100"/>
    <w:rsid w:val="0096516A"/>
    <w:rsid w:val="00982A3A"/>
    <w:rsid w:val="00A70285"/>
    <w:rsid w:val="00AB2DB0"/>
    <w:rsid w:val="00B67BE5"/>
    <w:rsid w:val="00BD5748"/>
    <w:rsid w:val="00D27860"/>
    <w:rsid w:val="00FC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2025-07-14T09:55:00Z</dcterms:created>
  <dcterms:modified xsi:type="dcterms:W3CDTF">2025-07-14T09:56:00Z</dcterms:modified>
</cp:coreProperties>
</file>