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93C" w:rsidRPr="006A7433" w:rsidRDefault="004C293C" w:rsidP="004C293C">
      <w:pPr>
        <w:tabs>
          <w:tab w:val="center" w:pos="4677"/>
        </w:tabs>
        <w:bidi/>
        <w:spacing w:line="360" w:lineRule="auto"/>
        <w:ind w:firstLine="707"/>
        <w:jc w:val="lowKashida"/>
        <w:rPr>
          <w:rFonts w:ascii="Times New Roman" w:hAnsi="Times New Roman" w:cs="Sakkal Majalla"/>
          <w:bCs/>
          <w:sz w:val="28"/>
          <w:szCs w:val="32"/>
          <w:rtl/>
          <w:lang w:bidi="ar-DZ"/>
        </w:rPr>
      </w:pPr>
      <w:r w:rsidRPr="006A7433">
        <w:rPr>
          <w:rFonts w:ascii="Times New Roman" w:hAnsi="Times New Roman" w:cs="Sakkal Majalla"/>
          <w:bCs/>
          <w:noProof/>
          <w:sz w:val="28"/>
          <w:szCs w:val="32"/>
          <w:rtl/>
          <w:lang w:eastAsia="fr-FR"/>
        </w:rPr>
        <mc:AlternateContent>
          <mc:Choice Requires="wps">
            <w:drawing>
              <wp:anchor distT="0" distB="0" distL="114300" distR="114300" simplePos="0" relativeHeight="251659264" behindDoc="0" locked="0" layoutInCell="1" allowOverlap="1" wp14:anchorId="6D02923A" wp14:editId="16B0A76B">
                <wp:simplePos x="0" y="0"/>
                <wp:positionH relativeFrom="margin">
                  <wp:posOffset>-430530</wp:posOffset>
                </wp:positionH>
                <wp:positionV relativeFrom="paragraph">
                  <wp:posOffset>-508910</wp:posOffset>
                </wp:positionV>
                <wp:extent cx="6786562" cy="4514850"/>
                <wp:effectExtent l="0" t="0" r="14605" b="19050"/>
                <wp:wrapNone/>
                <wp:docPr id="103974" name="Rectangle : coins arrondis 103974"/>
                <wp:cNvGraphicFramePr/>
                <a:graphic xmlns:a="http://schemas.openxmlformats.org/drawingml/2006/main">
                  <a:graphicData uri="http://schemas.microsoft.com/office/word/2010/wordprocessingShape">
                    <wps:wsp>
                      <wps:cNvSpPr/>
                      <wps:spPr>
                        <a:xfrm>
                          <a:off x="0" y="0"/>
                          <a:ext cx="6786562" cy="45148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287745" id="Rectangle : coins arrondis 103974" o:spid="_x0000_s1026" style="position:absolute;margin-left:-33.9pt;margin-top:-40.05pt;width:534.35pt;height:355.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4ygAIAADcFAAAOAAAAZHJzL2Uyb0RvYy54bWysVN1O2zAUvp+0d7B8P9J0bYGIFFUgpkkI&#10;EDBxbRy7jeb4eMdu0+5p9iw82Y6dNEUM7WLajWP7fOfvy3d8dr5tDNso9DXYkudHI86UlVDVdlny&#10;b49Xn04480HYShiwquQ75fn5/OOHs9YVagwrMJVCRkGsL1pX8lUIrsgyL1eqEf4InLJk1ICNCHTE&#10;ZVahaCl6Y7LxaDTLWsDKIUjlPd1edkY+T/G1VjLcau1VYKbkVFtIK6b1Oa7Z/EwUSxRuVcu+DPEP&#10;VTSitpR0CHUpgmBrrP8I1dQSwYMORxKaDLSupUo9UDf56E03DyvhVOqFyPFuoMn/v7DyZnOHrK7o&#10;340+nx5POLOiof90T8wJuzTq5VfBJNTWM4EItqo965FEXet8QREe3B32J0/byMNWYxO/1CHbJrp3&#10;A91qG5iky9nxyWw6G3MmyTaZ5pOTafoh2cHdoQ9fFDQsbkqOsLZVLC1xLTbXPlBewu9xMaWFq9qY&#10;eB/L6wpKu7AzKgKMvVeaeqYSxilQUpu6MMg2gnRSfc+jLihsQkYXTREHp/w9JxP2Tj02uqmkwMFx&#10;9J7jIduAThnBhsGxqS3g3511h9933fUa236Gake/GKHTvnfyqiYyr4UPdwJJ7DQWNMDhlhZtoC05&#10;9DvOVoA/37uPeNIgWTlraXhK7n+sBSrOzFdL6jzNJ5M4bekwmR6P6YCvLc+vLXbdXADxntNT4WTa&#10;Rnww+61GaJ5ozhcxK5mElZS75DLg/nARuqGml0KqxSLBaMKcCNf2wckYPLIadfK4fRLoekUFEuMN&#10;7AdNFG801WGjp4XFOoCuk+AOvPZ803QmwfQvSRz/1+eEOrx3898AAAD//wMAUEsDBBQABgAIAAAA&#10;IQAABUeT3gAAAAwBAAAPAAAAZHJzL2Rvd25yZXYueG1sTI/BTsMwEETvSPyDtUjcWrsghRDiVBFS&#10;DpxQA+LsxtskamxH8TZN/p7tCW6zmtHM23y/uEHMOMU+eA27rQKBvgm2962G769qk4KIZLw1Q/Co&#10;YcUI++L+LjeZDVd/wLmmVnCJj5nR0BGNmZSx6dCZuA0jevZOYXKG+JxaaSdz5XI3yCelEulM73mh&#10;MyO+d9ic64vTUMUyrvR5qNIPOs/1fFqr8qfW+vFhKd9AEC70F4YbPqNDwUzHcPE2ikHDJnlhdGKR&#10;qh2IW0Ip9QriqCF5ZiGLXP5/ovgFAAD//wMAUEsBAi0AFAAGAAgAAAAhALaDOJL+AAAA4QEAABMA&#10;AAAAAAAAAAAAAAAAAAAAAFtDb250ZW50X1R5cGVzXS54bWxQSwECLQAUAAYACAAAACEAOP0h/9YA&#10;AACUAQAACwAAAAAAAAAAAAAAAAAvAQAAX3JlbHMvLnJlbHNQSwECLQAUAAYACAAAACEAzVMuMoAC&#10;AAA3BQAADgAAAAAAAAAAAAAAAAAuAgAAZHJzL2Uyb0RvYy54bWxQSwECLQAUAAYACAAAACEAAAVH&#10;k94AAAAMAQAADwAAAAAAAAAAAAAAAADaBAAAZHJzL2Rvd25yZXYueG1sUEsFBgAAAAAEAAQA8wAA&#10;AOUFAAAAAA==&#10;" filled="f" strokecolor="black [3200]" strokeweight="2pt">
                <w10:wrap anchorx="margin"/>
              </v:roundrect>
            </w:pict>
          </mc:Fallback>
        </mc:AlternateContent>
      </w:r>
      <w:r w:rsidRPr="006A7433">
        <w:rPr>
          <w:rFonts w:ascii="Times New Roman" w:hAnsi="Times New Roman" w:cs="Sakkal Majalla"/>
          <w:bCs/>
          <w:sz w:val="28"/>
          <w:szCs w:val="32"/>
          <w:rtl/>
          <w:lang w:bidi="ar-DZ"/>
        </w:rPr>
        <w:t>الملخص:</w:t>
      </w:r>
    </w:p>
    <w:p w:rsidR="004C293C" w:rsidRPr="005145F0" w:rsidRDefault="004C293C" w:rsidP="004C293C">
      <w:pPr>
        <w:bidi/>
        <w:ind w:firstLine="707"/>
        <w:jc w:val="lowKashida"/>
        <w:rPr>
          <w:rFonts w:ascii="Times New Roman" w:eastAsia="Calibri" w:hAnsi="Times New Roman" w:cs="Sakkal Majalla"/>
          <w:b/>
          <w:sz w:val="28"/>
          <w:szCs w:val="32"/>
          <w:rtl/>
          <w:lang w:bidi="ar-DZ"/>
        </w:rPr>
      </w:pPr>
      <w:r w:rsidRPr="005145F0">
        <w:rPr>
          <w:rFonts w:ascii="Times New Roman" w:eastAsia="Calibri" w:hAnsi="Times New Roman" w:cs="Sakkal Majalla"/>
          <w:b/>
          <w:sz w:val="28"/>
          <w:szCs w:val="32"/>
          <w:rtl/>
          <w:lang w:bidi="ar-DZ"/>
        </w:rPr>
        <w:t xml:space="preserve">هدفت هذه الدراسة إلى إبراز دور الامتيازات الجبائية في </w:t>
      </w:r>
      <w:r w:rsidRPr="005145F0">
        <w:rPr>
          <w:rFonts w:ascii="Times New Roman" w:eastAsia="Calibri" w:hAnsi="Times New Roman" w:cs="Sakkal Majalla" w:hint="cs"/>
          <w:b/>
          <w:sz w:val="28"/>
          <w:szCs w:val="32"/>
          <w:rtl/>
          <w:lang w:bidi="ar-DZ"/>
        </w:rPr>
        <w:t>ترقية الاستثمار</w:t>
      </w:r>
      <w:r w:rsidRPr="005145F0">
        <w:rPr>
          <w:rFonts w:ascii="Times New Roman" w:eastAsia="Calibri" w:hAnsi="Times New Roman" w:cs="Sakkal Majalla"/>
          <w:b/>
          <w:sz w:val="28"/>
          <w:szCs w:val="32"/>
          <w:rtl/>
          <w:lang w:bidi="ar-DZ"/>
        </w:rPr>
        <w:t xml:space="preserve"> من خلال استعراض الامتيازات الجبائية المعتمدة لدفع عجلة الاستثمار </w:t>
      </w:r>
      <w:r w:rsidRPr="005145F0">
        <w:rPr>
          <w:rFonts w:ascii="Times New Roman" w:eastAsia="Calibri" w:hAnsi="Times New Roman" w:cs="Sakkal Majalla" w:hint="cs"/>
          <w:b/>
          <w:sz w:val="28"/>
          <w:szCs w:val="32"/>
          <w:rtl/>
          <w:lang w:bidi="ar-DZ"/>
        </w:rPr>
        <w:t>وتحسين</w:t>
      </w:r>
      <w:r w:rsidRPr="005145F0">
        <w:rPr>
          <w:rFonts w:ascii="Times New Roman" w:eastAsia="Calibri" w:hAnsi="Times New Roman" w:cs="Sakkal Majalla"/>
          <w:b/>
          <w:sz w:val="28"/>
          <w:szCs w:val="32"/>
          <w:rtl/>
          <w:lang w:bidi="ar-DZ"/>
        </w:rPr>
        <w:t xml:space="preserve"> الوضع </w:t>
      </w:r>
      <w:r w:rsidRPr="005145F0">
        <w:rPr>
          <w:rFonts w:ascii="Times New Roman" w:eastAsia="Calibri" w:hAnsi="Times New Roman" w:cs="Sakkal Majalla" w:hint="cs"/>
          <w:b/>
          <w:sz w:val="28"/>
          <w:szCs w:val="32"/>
          <w:rtl/>
          <w:lang w:bidi="ar-DZ"/>
        </w:rPr>
        <w:t>الاقتصادي، وقد</w:t>
      </w:r>
      <w:r w:rsidRPr="005145F0">
        <w:rPr>
          <w:rFonts w:ascii="Times New Roman" w:eastAsia="Calibri" w:hAnsi="Times New Roman" w:cs="Sakkal Majalla"/>
          <w:b/>
          <w:sz w:val="28"/>
          <w:szCs w:val="32"/>
          <w:rtl/>
          <w:lang w:bidi="ar-DZ"/>
        </w:rPr>
        <w:t xml:space="preserve"> ركزت الدراسة على توضيح دور الوكالة الجزائرية لترقية الاستثمار، من خلال الامتيازات الجبائية التي تمنحها في إطار قوانين الاستثمار، وذلك عبر التخفيضات والإعفاءات التي توفرها للمستثمرين في جانبها </w:t>
      </w:r>
      <w:r w:rsidRPr="005145F0">
        <w:rPr>
          <w:rFonts w:ascii="Times New Roman" w:eastAsia="Calibri" w:hAnsi="Times New Roman" w:cs="Sakkal Majalla" w:hint="cs"/>
          <w:b/>
          <w:sz w:val="28"/>
          <w:szCs w:val="32"/>
          <w:rtl/>
          <w:lang w:bidi="ar-DZ"/>
        </w:rPr>
        <w:t>النظري.</w:t>
      </w:r>
      <w:r w:rsidRPr="005145F0">
        <w:rPr>
          <w:rFonts w:ascii="Times New Roman" w:eastAsia="Calibri" w:hAnsi="Times New Roman" w:cs="Sakkal Majalla"/>
          <w:b/>
          <w:sz w:val="28"/>
          <w:szCs w:val="32"/>
          <w:rtl/>
          <w:lang w:bidi="ar-DZ"/>
        </w:rPr>
        <w:t xml:space="preserve"> أما في الجانب التطبيقي، فقد تناولت </w:t>
      </w:r>
      <w:r w:rsidRPr="005145F0">
        <w:rPr>
          <w:rFonts w:ascii="Times New Roman" w:eastAsia="Calibri" w:hAnsi="Times New Roman" w:cs="Sakkal Majalla" w:hint="cs"/>
          <w:b/>
          <w:sz w:val="28"/>
          <w:szCs w:val="32"/>
          <w:rtl/>
          <w:lang w:bidi="ar-DZ"/>
        </w:rPr>
        <w:t>الدراسة إحصائيات</w:t>
      </w:r>
      <w:r w:rsidRPr="005145F0">
        <w:rPr>
          <w:rFonts w:ascii="Times New Roman" w:eastAsia="Calibri" w:hAnsi="Times New Roman" w:cs="Sakkal Majalla"/>
          <w:b/>
          <w:sz w:val="28"/>
          <w:szCs w:val="32"/>
          <w:rtl/>
          <w:lang w:bidi="ar-DZ"/>
        </w:rPr>
        <w:t xml:space="preserve"> للمشاريع الاستثمارية التي تمت الموافقة عليها من طرفها في ولاية </w:t>
      </w:r>
      <w:r w:rsidRPr="005145F0">
        <w:rPr>
          <w:rFonts w:ascii="Times New Roman" w:eastAsia="Calibri" w:hAnsi="Times New Roman" w:cs="Sakkal Majalla" w:hint="cs"/>
          <w:b/>
          <w:sz w:val="28"/>
          <w:szCs w:val="32"/>
          <w:rtl/>
          <w:lang w:bidi="ar-DZ"/>
        </w:rPr>
        <w:t>سطيف،</w:t>
      </w:r>
      <w:r w:rsidRPr="005145F0">
        <w:rPr>
          <w:rFonts w:ascii="Times New Roman" w:eastAsia="Calibri" w:hAnsi="Times New Roman" w:cs="Sakkal Majalla"/>
          <w:b/>
          <w:sz w:val="28"/>
          <w:szCs w:val="32"/>
          <w:rtl/>
          <w:lang w:bidi="ar-DZ"/>
        </w:rPr>
        <w:t xml:space="preserve"> كما تم تقديم مثال عن مشروع استفاد من هذه الامتيازات، وإجراء مقابلة داخل الوكالة الجزائرية لترقية الاستثمار، مما ساهم في تعزيز فهم دورها في مرافقة ودعم المستثمرين. وتوصلت الدراسة إلى أن الامتيازات الجبائية التي تقدمها الوكالة الجزائرية لترقية الاستثمار لها دور فعال في </w:t>
      </w:r>
      <w:r w:rsidRPr="005145F0">
        <w:rPr>
          <w:rFonts w:ascii="Times New Roman" w:eastAsia="Calibri" w:hAnsi="Times New Roman" w:cs="Sakkal Majalla" w:hint="cs"/>
          <w:b/>
          <w:sz w:val="28"/>
          <w:szCs w:val="32"/>
          <w:rtl/>
          <w:lang w:bidi="ar-DZ"/>
        </w:rPr>
        <w:t>استقطاب</w:t>
      </w:r>
      <w:r w:rsidRPr="005145F0">
        <w:rPr>
          <w:rFonts w:ascii="Times New Roman" w:eastAsia="Calibri" w:hAnsi="Times New Roman" w:cs="Sakkal Majalla"/>
          <w:b/>
          <w:sz w:val="28"/>
          <w:szCs w:val="32"/>
          <w:rtl/>
          <w:lang w:bidi="ar-DZ"/>
        </w:rPr>
        <w:t xml:space="preserve"> </w:t>
      </w:r>
      <w:r w:rsidRPr="005145F0">
        <w:rPr>
          <w:rFonts w:ascii="Times New Roman" w:eastAsia="Calibri" w:hAnsi="Times New Roman" w:cs="Sakkal Majalla" w:hint="cs"/>
          <w:b/>
          <w:sz w:val="28"/>
          <w:szCs w:val="32"/>
          <w:rtl/>
          <w:lang w:bidi="ar-DZ"/>
        </w:rPr>
        <w:t>الاستثمارات ودعمها</w:t>
      </w:r>
    </w:p>
    <w:p w:rsidR="004C293C" w:rsidRPr="005145F0" w:rsidRDefault="004C293C" w:rsidP="004C293C">
      <w:pPr>
        <w:bidi/>
        <w:ind w:firstLine="707"/>
        <w:jc w:val="lowKashida"/>
        <w:rPr>
          <w:rFonts w:ascii="Times New Roman" w:eastAsia="Calibri" w:hAnsi="Times New Roman" w:cs="Sakkal Majalla"/>
          <w:b/>
          <w:sz w:val="28"/>
          <w:szCs w:val="32"/>
          <w:rtl/>
          <w:lang w:bidi="ar-DZ"/>
        </w:rPr>
      </w:pPr>
      <w:r w:rsidRPr="007412B3">
        <w:rPr>
          <w:rFonts w:ascii="Times New Roman" w:eastAsia="Calibri" w:hAnsi="Times New Roman" w:cs="Sakkal Majalla"/>
          <w:b/>
          <w:bCs/>
          <w:sz w:val="28"/>
          <w:szCs w:val="32"/>
          <w:rtl/>
        </w:rPr>
        <w:t>الكلمات المفتاحية</w:t>
      </w:r>
      <w:r w:rsidRPr="007412B3">
        <w:rPr>
          <w:rFonts w:ascii="Times New Roman" w:eastAsia="Calibri" w:hAnsi="Times New Roman" w:cs="Sakkal Majalla"/>
          <w:b/>
          <w:bCs/>
          <w:sz w:val="28"/>
          <w:szCs w:val="32"/>
        </w:rPr>
        <w:t>:</w:t>
      </w:r>
      <w:r w:rsidRPr="007412B3">
        <w:rPr>
          <w:rFonts w:ascii="Times New Roman" w:eastAsia="Calibri" w:hAnsi="Times New Roman" w:cs="Sakkal Majalla"/>
          <w:bCs/>
          <w:sz w:val="28"/>
          <w:szCs w:val="32"/>
        </w:rPr>
        <w:t xml:space="preserve"> </w:t>
      </w:r>
      <w:r w:rsidRPr="005145F0">
        <w:rPr>
          <w:rFonts w:ascii="Times New Roman" w:eastAsia="Calibri" w:hAnsi="Times New Roman" w:cs="Sakkal Majalla" w:hint="cs"/>
          <w:b/>
          <w:sz w:val="28"/>
          <w:szCs w:val="32"/>
          <w:rtl/>
          <w:lang w:bidi="ar-DZ"/>
        </w:rPr>
        <w:t>الامتيازات</w:t>
      </w:r>
      <w:r w:rsidRPr="005145F0">
        <w:rPr>
          <w:rFonts w:ascii="Times New Roman" w:eastAsia="Calibri" w:hAnsi="Times New Roman" w:cs="Sakkal Majalla"/>
          <w:b/>
          <w:sz w:val="28"/>
          <w:szCs w:val="32"/>
          <w:rtl/>
          <w:lang w:bidi="ar-DZ"/>
        </w:rPr>
        <w:t xml:space="preserve"> </w:t>
      </w:r>
      <w:r w:rsidRPr="005145F0">
        <w:rPr>
          <w:rFonts w:ascii="Times New Roman" w:eastAsia="Calibri" w:hAnsi="Times New Roman" w:cs="Sakkal Majalla" w:hint="cs"/>
          <w:b/>
          <w:sz w:val="28"/>
          <w:szCs w:val="32"/>
          <w:rtl/>
          <w:lang w:bidi="ar-DZ"/>
        </w:rPr>
        <w:t xml:space="preserve">الجبائية، </w:t>
      </w:r>
      <w:r>
        <w:rPr>
          <w:rFonts w:ascii="Times New Roman" w:eastAsia="Calibri" w:hAnsi="Times New Roman" w:cs="Sakkal Majalla" w:hint="cs"/>
          <w:b/>
          <w:sz w:val="28"/>
          <w:szCs w:val="32"/>
          <w:rtl/>
          <w:lang w:bidi="ar-DZ"/>
        </w:rPr>
        <w:t xml:space="preserve">ترقية </w:t>
      </w:r>
      <w:r w:rsidRPr="005145F0">
        <w:rPr>
          <w:rFonts w:ascii="Times New Roman" w:eastAsia="Calibri" w:hAnsi="Times New Roman" w:cs="Sakkal Majalla" w:hint="cs"/>
          <w:b/>
          <w:sz w:val="28"/>
          <w:szCs w:val="32"/>
          <w:rtl/>
          <w:lang w:bidi="ar-DZ"/>
        </w:rPr>
        <w:t>الاستثمار، الوكالة</w:t>
      </w:r>
      <w:r w:rsidRPr="005145F0">
        <w:rPr>
          <w:rFonts w:ascii="Times New Roman" w:eastAsia="Calibri" w:hAnsi="Times New Roman" w:cs="Sakkal Majalla"/>
          <w:b/>
          <w:sz w:val="28"/>
          <w:szCs w:val="32"/>
          <w:rtl/>
          <w:lang w:bidi="ar-DZ"/>
        </w:rPr>
        <w:t xml:space="preserve"> الجزائرية </w:t>
      </w:r>
      <w:r>
        <w:rPr>
          <w:rFonts w:ascii="Times New Roman" w:eastAsia="Calibri" w:hAnsi="Times New Roman" w:cs="Sakkal Majalla" w:hint="cs"/>
          <w:b/>
          <w:sz w:val="28"/>
          <w:szCs w:val="32"/>
          <w:rtl/>
          <w:lang w:bidi="ar-DZ"/>
        </w:rPr>
        <w:t>ل</w:t>
      </w:r>
      <w:r w:rsidRPr="005145F0">
        <w:rPr>
          <w:rFonts w:ascii="Times New Roman" w:eastAsia="Calibri" w:hAnsi="Times New Roman" w:cs="Sakkal Majalla" w:hint="cs"/>
          <w:b/>
          <w:sz w:val="28"/>
          <w:szCs w:val="32"/>
          <w:rtl/>
          <w:lang w:bidi="ar-DZ"/>
        </w:rPr>
        <w:t>ترقية الاستثمار</w:t>
      </w:r>
      <w:r w:rsidRPr="005145F0">
        <w:rPr>
          <w:rFonts w:ascii="Times New Roman" w:eastAsia="Calibri" w:hAnsi="Times New Roman" w:cs="Sakkal Majalla"/>
          <w:b/>
          <w:sz w:val="28"/>
          <w:szCs w:val="32"/>
          <w:rtl/>
          <w:lang w:bidi="ar-DZ"/>
        </w:rPr>
        <w:t xml:space="preserve"> </w:t>
      </w:r>
    </w:p>
    <w:p w:rsidR="004C293C" w:rsidRPr="006A7433" w:rsidRDefault="004C293C" w:rsidP="004C293C">
      <w:pPr>
        <w:bidi/>
        <w:ind w:firstLine="707"/>
        <w:jc w:val="lowKashida"/>
        <w:rPr>
          <w:rFonts w:ascii="Times New Roman" w:eastAsia="Calibri" w:hAnsi="Times New Roman" w:cs="Sakkal Majalla"/>
          <w:sz w:val="28"/>
          <w:szCs w:val="32"/>
          <w:lang w:bidi="ar-DZ"/>
        </w:rPr>
      </w:pPr>
    </w:p>
    <w:p w:rsidR="004C293C" w:rsidRPr="006A7433" w:rsidRDefault="004C293C" w:rsidP="004C293C">
      <w:pPr>
        <w:bidi/>
        <w:ind w:firstLine="707"/>
        <w:jc w:val="lowKashida"/>
        <w:rPr>
          <w:rFonts w:ascii="Times New Roman" w:eastAsia="Calibri" w:hAnsi="Times New Roman" w:cs="Sakkal Majalla"/>
          <w:sz w:val="28"/>
          <w:szCs w:val="32"/>
        </w:rPr>
      </w:pPr>
    </w:p>
    <w:p w:rsidR="004C293C" w:rsidRPr="005145F0" w:rsidRDefault="004C293C" w:rsidP="004C293C">
      <w:pPr>
        <w:tabs>
          <w:tab w:val="center" w:pos="4677"/>
        </w:tabs>
        <w:spacing w:line="360" w:lineRule="auto"/>
        <w:ind w:firstLine="567"/>
        <w:rPr>
          <w:rFonts w:ascii="Times New Roman" w:hAnsi="Times New Roman" w:cs="Sakkal Majalla"/>
          <w:sz w:val="28"/>
          <w:szCs w:val="34"/>
          <w:rtl/>
          <w:lang w:val="en-GB"/>
        </w:rPr>
      </w:pPr>
      <w:r w:rsidRPr="006A7433">
        <w:rPr>
          <w:rFonts w:ascii="Times New Roman" w:hAnsi="Times New Roman" w:cs="Sakkal Majalla"/>
          <w:bCs/>
          <w:noProof/>
          <w:sz w:val="28"/>
          <w:szCs w:val="32"/>
          <w:rtl/>
          <w:lang w:eastAsia="fr-FR"/>
        </w:rPr>
        <mc:AlternateContent>
          <mc:Choice Requires="wps">
            <w:drawing>
              <wp:anchor distT="0" distB="0" distL="114300" distR="114300" simplePos="0" relativeHeight="251660288" behindDoc="1" locked="0" layoutInCell="1" allowOverlap="1" wp14:anchorId="12138087" wp14:editId="1136678E">
                <wp:simplePos x="0" y="0"/>
                <wp:positionH relativeFrom="margin">
                  <wp:align>center</wp:align>
                </wp:positionH>
                <wp:positionV relativeFrom="margin">
                  <wp:posOffset>4778584</wp:posOffset>
                </wp:positionV>
                <wp:extent cx="6786562" cy="4514850"/>
                <wp:effectExtent l="0" t="0" r="14605" b="19050"/>
                <wp:wrapNone/>
                <wp:docPr id="103975" name="Rectangle : coins arrondis 103975"/>
                <wp:cNvGraphicFramePr/>
                <a:graphic xmlns:a="http://schemas.openxmlformats.org/drawingml/2006/main">
                  <a:graphicData uri="http://schemas.microsoft.com/office/word/2010/wordprocessingShape">
                    <wps:wsp>
                      <wps:cNvSpPr/>
                      <wps:spPr>
                        <a:xfrm>
                          <a:off x="0" y="0"/>
                          <a:ext cx="6786562" cy="45148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7E3E46" id="Rectangle : coins arrondis 103975" o:spid="_x0000_s1026" style="position:absolute;margin-left:0;margin-top:376.25pt;width:534.35pt;height:355.5pt;z-index:-251656192;visibility:visible;mso-wrap-style:square;mso-wrap-distance-left:9pt;mso-wrap-distance-top:0;mso-wrap-distance-right:9pt;mso-wrap-distance-bottom:0;mso-position-horizontal:center;mso-position-horizontal-relative:margin;mso-position-vertical:absolute;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SigAIAADcFAAAOAAAAZHJzL2Uyb0RvYy54bWysVN1O2zAUvp+0d7B8P9J0bYGIFFUgpkkI&#10;EDBxbRy7jeb4eMdu0+5p9iw82Y6dNEUM7WLajWP7fOfvy3d8dr5tDNso9DXYkudHI86UlVDVdlny&#10;b49Xn04480HYShiwquQ75fn5/OOHs9YVagwrMJVCRkGsL1pX8lUIrsgyL1eqEf4InLJk1ICNCHTE&#10;ZVahaCl6Y7LxaDTLWsDKIUjlPd1edkY+T/G1VjLcau1VYKbkVFtIK6b1Oa7Z/EwUSxRuVcu+DPEP&#10;VTSitpR0CHUpgmBrrP8I1dQSwYMORxKaDLSupUo9UDf56E03DyvhVOqFyPFuoMn/v7DyZnOHrK7o&#10;340+nx5PObOiof90T8wJuzTq5VfBJNTWM4EItqo965FEXet8QREe3B32J0/byMNWYxO/1CHbJrp3&#10;A91qG5iky9nxyWw6G3MmyTaZ5pOTafoh2cHdoQ9fFDQsbkqOsLZVLC1xLTbXPlBewu9xMaWFq9qY&#10;eB/L6wpKu7AzKgKMvVeaeqYSxilQUpu6MMg2gnRSfc+jLihsQkYXTREHp/w9JxP2Tj02uqmkwMFx&#10;9J7jIduAThnBhsGxqS3g3511h9933fUa236Gake/GKHTvnfyqiYyr4UPdwJJ7DQWNMDhlhZtoC05&#10;9DvOVoA/37uPeNIgWTlraXhK7n+sBSrOzFdL6jzNJ5M4bekwmR6P6YCvLc+vLXbdXADxntNT4WTa&#10;Rnww+61GaJ5ozhcxK5mElZS75DLg/nARuqGml0KqxSLBaMKcCNf2wckYPLIadfK4fRLoekUFEuMN&#10;7AdNFG801WGjp4XFOoCuk+AOvPZ803QmwfQvSRz/1+eEOrx3898AAAD//wMAUEsDBBQABgAIAAAA&#10;IQA3iLIv3gAAAAoBAAAPAAAAZHJzL2Rvd25yZXYueG1sTI9BT4NAEIXvJv6HzZh4s4tVKEGWhphw&#10;8GSKxvOWnQIpO0vYKYV/7/aktzd5k/e+l+8XO4gZJ987UvC8iUAgNc701Cr4/qqeUhCeNRk9OEIF&#10;K3rYF/d3uc6Mu9IB55pbEULIZ1pBxzxmUvqmQ6v9xo1IwTu5yWoO59RKM+lrCLeD3EZRIq3uKTR0&#10;esT3DptzfbEKKl/6lT8PVfrB57meT2tV/tRKPT4s5RsIxoX/nuGGH9ChCExHdyHjxaAgDGEFu3gb&#10;g7jZUZLuQByDek1eYpBFLv9PKH4BAAD//wMAUEsBAi0AFAAGAAgAAAAhALaDOJL+AAAA4QEAABMA&#10;AAAAAAAAAAAAAAAAAAAAAFtDb250ZW50X1R5cGVzXS54bWxQSwECLQAUAAYACAAAACEAOP0h/9YA&#10;AACUAQAACwAAAAAAAAAAAAAAAAAvAQAAX3JlbHMvLnJlbHNQSwECLQAUAAYACAAAACEALMHkooAC&#10;AAA3BQAADgAAAAAAAAAAAAAAAAAuAgAAZHJzL2Uyb0RvYy54bWxQSwECLQAUAAYACAAAACEAN4iy&#10;L94AAAAKAQAADwAAAAAAAAAAAAAAAADaBAAAZHJzL2Rvd25yZXYueG1sUEsFBgAAAAAEAAQA8wAA&#10;AOUFAAAAAA==&#10;" filled="f" strokecolor="black [3200]" strokeweight="2pt">
                <w10:wrap anchorx="margin" anchory="margin"/>
              </v:roundrect>
            </w:pict>
          </mc:Fallback>
        </mc:AlternateContent>
      </w:r>
      <w:r w:rsidRPr="006A7433">
        <w:rPr>
          <w:rFonts w:ascii="Times New Roman" w:hAnsi="Times New Roman" w:cs="Sakkal Majalla"/>
          <w:b/>
          <w:bCs/>
          <w:sz w:val="28"/>
          <w:szCs w:val="34"/>
          <w:lang w:val="en"/>
        </w:rPr>
        <w:t xml:space="preserve">Summary: </w:t>
      </w:r>
    </w:p>
    <w:p w:rsidR="004C293C" w:rsidRPr="005145F0" w:rsidRDefault="004C293C" w:rsidP="004C293C">
      <w:pPr>
        <w:tabs>
          <w:tab w:val="center" w:pos="4677"/>
        </w:tabs>
        <w:spacing w:after="0" w:line="240" w:lineRule="auto"/>
        <w:ind w:firstLine="567"/>
        <w:jc w:val="lowKashida"/>
        <w:rPr>
          <w:rFonts w:ascii="Times New Roman" w:hAnsi="Times New Roman" w:cs="Sakkal Majalla"/>
          <w:bCs/>
          <w:sz w:val="28"/>
          <w:szCs w:val="32"/>
          <w:lang w:val="en-US"/>
        </w:rPr>
      </w:pPr>
      <w:r w:rsidRPr="005145F0">
        <w:rPr>
          <w:rFonts w:ascii="Times New Roman" w:hAnsi="Times New Roman" w:cs="Sakkal Majalla"/>
          <w:bCs/>
          <w:sz w:val="28"/>
          <w:szCs w:val="32"/>
          <w:lang w:val="en-US"/>
        </w:rPr>
        <w:t>This study aimed to highlight the role of tax incentives in promoting investment by reviewing the tax privileges adopted to drive investment and improve the economic situation</w:t>
      </w:r>
      <w:r w:rsidRPr="005145F0">
        <w:rPr>
          <w:rFonts w:ascii="Times New Roman" w:hAnsi="Times New Roman" w:cs="Sakkal Majalla"/>
          <w:bCs/>
          <w:sz w:val="28"/>
          <w:szCs w:val="32"/>
          <w:rtl/>
          <w:lang w:val="en-GB" w:bidi="ar-DZ"/>
        </w:rPr>
        <w:t>.</w:t>
      </w:r>
    </w:p>
    <w:p w:rsidR="004C293C" w:rsidRPr="005145F0" w:rsidRDefault="004C293C" w:rsidP="004C293C">
      <w:pPr>
        <w:tabs>
          <w:tab w:val="center" w:pos="4677"/>
        </w:tabs>
        <w:spacing w:after="0" w:line="240" w:lineRule="auto"/>
        <w:ind w:firstLine="567"/>
        <w:jc w:val="lowKashida"/>
        <w:rPr>
          <w:rFonts w:ascii="Times New Roman" w:hAnsi="Times New Roman" w:cs="Sakkal Majalla"/>
          <w:bCs/>
          <w:sz w:val="28"/>
          <w:szCs w:val="32"/>
          <w:lang w:val="en-US"/>
        </w:rPr>
      </w:pPr>
      <w:r w:rsidRPr="005145F0">
        <w:rPr>
          <w:rFonts w:ascii="Times New Roman" w:hAnsi="Times New Roman" w:cs="Sakkal Majalla"/>
          <w:bCs/>
          <w:sz w:val="28"/>
          <w:szCs w:val="32"/>
          <w:lang w:val="en-US"/>
        </w:rPr>
        <w:t xml:space="preserve">The study focused on clarifying the role of the Algerian Agency for Investment Promotion through the tax incentives it grants within the framework of investment laws, through the reductions and exemptions it provides to investors in its theoretical aspect. In the practical aspect, the study addressed statistics of investment projects approved by it in the state of </w:t>
      </w:r>
      <w:proofErr w:type="spellStart"/>
      <w:r w:rsidRPr="005145F0">
        <w:rPr>
          <w:rFonts w:ascii="Times New Roman" w:hAnsi="Times New Roman" w:cs="Sakkal Majalla"/>
          <w:bCs/>
          <w:sz w:val="28"/>
          <w:szCs w:val="32"/>
          <w:lang w:val="en-US"/>
        </w:rPr>
        <w:t>Sétif</w:t>
      </w:r>
      <w:proofErr w:type="spellEnd"/>
      <w:r w:rsidRPr="005145F0">
        <w:rPr>
          <w:rFonts w:ascii="Times New Roman" w:hAnsi="Times New Roman" w:cs="Sakkal Majalla"/>
          <w:bCs/>
          <w:sz w:val="28"/>
          <w:szCs w:val="32"/>
          <w:lang w:val="en-US"/>
        </w:rPr>
        <w:t xml:space="preserve">, and presented an example of a project that benefited from these incentives, as well as conducting an interview within the Algerian Agency for Investment Promotion, which contributed to enhancing the understanding of its role in supporting and assisting investors                                                                                                      </w:t>
      </w:r>
    </w:p>
    <w:p w:rsidR="004C293C" w:rsidRPr="005145F0" w:rsidRDefault="004C293C" w:rsidP="004C293C">
      <w:pPr>
        <w:tabs>
          <w:tab w:val="center" w:pos="4677"/>
        </w:tabs>
        <w:spacing w:after="0" w:line="240" w:lineRule="auto"/>
        <w:ind w:firstLine="567"/>
        <w:jc w:val="lowKashida"/>
        <w:rPr>
          <w:rFonts w:ascii="Times New Roman" w:hAnsi="Times New Roman" w:cs="Sakkal Majalla"/>
          <w:bCs/>
          <w:sz w:val="28"/>
          <w:szCs w:val="32"/>
          <w:lang w:val="en-US"/>
        </w:rPr>
      </w:pPr>
      <w:r w:rsidRPr="005145F0">
        <w:rPr>
          <w:rFonts w:ascii="Times New Roman" w:hAnsi="Times New Roman" w:cs="Sakkal Majalla"/>
          <w:bCs/>
          <w:sz w:val="28"/>
          <w:szCs w:val="32"/>
          <w:lang w:val="en-US"/>
        </w:rPr>
        <w:t>The study concluded that the tax incentives provided by the Algerian Agency for Investment Promotion play an effective role in attracting and supporting investments</w:t>
      </w:r>
      <w:r w:rsidRPr="005145F0">
        <w:rPr>
          <w:rFonts w:ascii="Times New Roman" w:hAnsi="Times New Roman" w:cs="Sakkal Majalla"/>
          <w:bCs/>
          <w:sz w:val="28"/>
          <w:szCs w:val="32"/>
          <w:rtl/>
          <w:lang w:val="en-GB" w:bidi="ar-DZ"/>
        </w:rPr>
        <w:t>.</w:t>
      </w:r>
    </w:p>
    <w:p w:rsidR="004C293C" w:rsidRPr="005145F0" w:rsidRDefault="004C293C" w:rsidP="004C293C">
      <w:pPr>
        <w:tabs>
          <w:tab w:val="center" w:pos="4677"/>
        </w:tabs>
        <w:spacing w:after="0" w:line="240" w:lineRule="auto"/>
        <w:ind w:firstLine="567"/>
        <w:jc w:val="lowKashida"/>
        <w:rPr>
          <w:rFonts w:ascii="Times New Roman" w:hAnsi="Times New Roman" w:cs="Sakkal Majalla"/>
          <w:bCs/>
          <w:sz w:val="28"/>
          <w:szCs w:val="32"/>
          <w:rtl/>
          <w:lang w:val="en-GB" w:bidi="ar-DZ"/>
        </w:rPr>
      </w:pPr>
      <w:r w:rsidRPr="005145F0">
        <w:rPr>
          <w:rFonts w:ascii="Times New Roman" w:hAnsi="Times New Roman" w:cs="Sakkal Majalla"/>
          <w:b/>
          <w:bCs/>
          <w:sz w:val="28"/>
          <w:szCs w:val="32"/>
          <w:lang w:val="en-GB"/>
        </w:rPr>
        <w:t>Keywords:</w:t>
      </w:r>
      <w:r w:rsidRPr="005145F0">
        <w:rPr>
          <w:rFonts w:ascii="Times New Roman" w:hAnsi="Times New Roman" w:cs="Sakkal Majalla"/>
          <w:bCs/>
          <w:sz w:val="28"/>
          <w:szCs w:val="32"/>
          <w:lang w:val="en-GB"/>
        </w:rPr>
        <w:t xml:space="preserve"> </w:t>
      </w:r>
      <w:r w:rsidRPr="005145F0">
        <w:rPr>
          <w:rFonts w:ascii="Times New Roman" w:hAnsi="Times New Roman" w:cs="Sakkal Majalla"/>
          <w:bCs/>
          <w:sz w:val="28"/>
          <w:szCs w:val="32"/>
          <w:lang w:val="en-US"/>
        </w:rPr>
        <w:t>Tax incentives, investment</w:t>
      </w:r>
      <w:r>
        <w:rPr>
          <w:rFonts w:ascii="Times New Roman" w:hAnsi="Times New Roman" w:cs="Sakkal Majalla"/>
          <w:bCs/>
          <w:sz w:val="28"/>
          <w:szCs w:val="32"/>
          <w:lang w:val="en-US"/>
        </w:rPr>
        <w:t xml:space="preserve"> </w:t>
      </w:r>
      <w:r w:rsidRPr="005145F0">
        <w:rPr>
          <w:rFonts w:ascii="Times New Roman" w:hAnsi="Times New Roman" w:cs="Sakkal Majalla"/>
          <w:bCs/>
          <w:sz w:val="28"/>
          <w:szCs w:val="32"/>
          <w:lang w:val="en-US"/>
        </w:rPr>
        <w:t>Promotion</w:t>
      </w:r>
      <w:r>
        <w:rPr>
          <w:rFonts w:ascii="Times New Roman" w:hAnsi="Times New Roman" w:cs="Sakkal Majalla" w:hint="cs"/>
          <w:bCs/>
          <w:sz w:val="28"/>
          <w:szCs w:val="32"/>
          <w:rtl/>
          <w:lang w:val="en-US"/>
        </w:rPr>
        <w:t xml:space="preserve">, </w:t>
      </w:r>
      <w:r w:rsidRPr="00060DAC">
        <w:rPr>
          <w:rFonts w:ascii="Times New Roman" w:hAnsi="Times New Roman" w:cs="Sakkal Majalla"/>
          <w:bCs/>
          <w:sz w:val="28"/>
          <w:szCs w:val="32"/>
          <w:lang w:val="en-US"/>
        </w:rPr>
        <w:t>Algerian</w:t>
      </w:r>
      <w:r w:rsidRPr="005145F0">
        <w:rPr>
          <w:rFonts w:ascii="Times New Roman" w:hAnsi="Times New Roman" w:cs="Sakkal Majalla"/>
          <w:bCs/>
          <w:sz w:val="28"/>
          <w:szCs w:val="32"/>
          <w:lang w:val="en-US"/>
        </w:rPr>
        <w:t xml:space="preserve"> Agency for Investment Promotion</w:t>
      </w:r>
      <w:r>
        <w:rPr>
          <w:rFonts w:ascii="Times New Roman" w:hAnsi="Times New Roman" w:cs="Sakkal Majalla" w:hint="cs"/>
          <w:bCs/>
          <w:sz w:val="28"/>
          <w:szCs w:val="32"/>
          <w:rtl/>
          <w:lang w:val="en-US"/>
        </w:rPr>
        <w:t xml:space="preserve"> </w:t>
      </w:r>
    </w:p>
    <w:p w:rsidR="00D1272C" w:rsidRPr="004C293C" w:rsidRDefault="00D1272C">
      <w:pPr>
        <w:rPr>
          <w:lang w:val="en-US" w:bidi="ar-DZ"/>
        </w:rPr>
      </w:pPr>
      <w:bookmarkStart w:id="0" w:name="_GoBack"/>
      <w:bookmarkEnd w:id="0"/>
    </w:p>
    <w:sectPr w:rsidR="00D1272C" w:rsidRPr="004C293C" w:rsidSect="00D87E36">
      <w:headerReference w:type="default" r:id="rId4"/>
      <w:footerReference w:type="default" r:id="rId5"/>
      <w:footnotePr>
        <w:numRestart w:val="eachPage"/>
      </w:footnotePr>
      <w:pgSz w:w="11906" w:h="16838"/>
      <w:pgMar w:top="1418" w:right="1418" w:bottom="1134" w:left="1134"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92" w:rsidRDefault="004C293C">
    <w:pPr>
      <w:spacing w:after="0"/>
      <w:ind w:right="700"/>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92" w:rsidRPr="00520CEA" w:rsidRDefault="004C293C" w:rsidP="00520CEA">
    <w:pPr>
      <w:pStyle w:val="Header"/>
      <w:rPr>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3C"/>
    <w:rsid w:val="004C293C"/>
    <w:rsid w:val="004F32A6"/>
    <w:rsid w:val="00D127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A5D8"/>
  <w15:chartTrackingRefBased/>
  <w15:docId w15:val="{A3514767-9E70-4705-809B-9FA31D9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93C"/>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4C293C"/>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1749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dc:creator>
  <cp:keywords/>
  <dc:description/>
  <cp:lastModifiedBy>mourad</cp:lastModifiedBy>
  <cp:revision>1</cp:revision>
  <dcterms:created xsi:type="dcterms:W3CDTF">2025-07-14T09:15:00Z</dcterms:created>
  <dcterms:modified xsi:type="dcterms:W3CDTF">2025-07-14T09:18:00Z</dcterms:modified>
</cp:coreProperties>
</file>