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8B19" w14:textId="77777777" w:rsidR="0084059D" w:rsidRPr="00F55F26" w:rsidRDefault="0084059D" w:rsidP="0084059D">
      <w:pPr>
        <w:tabs>
          <w:tab w:val="right" w:pos="282"/>
          <w:tab w:val="right" w:pos="566"/>
        </w:tabs>
        <w:bidi/>
        <w:spacing w:after="0" w:line="276" w:lineRule="auto"/>
        <w:ind w:left="-1"/>
        <w:jc w:val="both"/>
        <w:rPr>
          <w:rFonts w:ascii="Sakkal Majalla" w:eastAsiaTheme="majorEastAsia" w:hAnsi="Sakkal Majalla" w:cs="Sakkal Majalla"/>
          <w:b/>
          <w:bCs/>
          <w:sz w:val="28"/>
          <w:szCs w:val="28"/>
          <w:rtl/>
        </w:rPr>
      </w:pPr>
      <w:r w:rsidRPr="00F55F26">
        <w:rPr>
          <w:rFonts w:ascii="Sakkal Majalla" w:eastAsiaTheme="majorEastAsia" w:hAnsi="Sakkal Majalla" w:cs="Sakkal Majalla"/>
          <w:b/>
          <w:bCs/>
          <w:sz w:val="36"/>
          <w:szCs w:val="36"/>
          <w:rtl/>
        </w:rPr>
        <w:t>الملخص</w:t>
      </w:r>
      <w:r>
        <w:rPr>
          <w:rFonts w:ascii="Sakkal Majalla" w:eastAsiaTheme="majorEastAsia" w:hAnsi="Sakkal Majalla" w:cs="Sakkal Majalla" w:hint="cs"/>
          <w:b/>
          <w:bCs/>
          <w:sz w:val="36"/>
          <w:szCs w:val="36"/>
          <w:rtl/>
        </w:rPr>
        <w:t>:</w:t>
      </w:r>
    </w:p>
    <w:p w14:paraId="35D31573" w14:textId="77777777" w:rsidR="0084059D" w:rsidRPr="0021102D" w:rsidRDefault="0084059D" w:rsidP="0084059D">
      <w:pPr>
        <w:pStyle w:val="Paragraphedeliste"/>
        <w:tabs>
          <w:tab w:val="right" w:pos="282"/>
          <w:tab w:val="right" w:pos="566"/>
        </w:tabs>
        <w:bidi/>
        <w:spacing w:after="0" w:line="276" w:lineRule="auto"/>
        <w:ind w:left="-1"/>
        <w:jc w:val="both"/>
        <w:rPr>
          <w:rFonts w:ascii="Sakkal Majalla" w:hAnsi="Sakkal Majalla" w:cs="Sakkal Majalla"/>
          <w:sz w:val="32"/>
          <w:szCs w:val="32"/>
          <w:lang w:bidi="ar-DZ"/>
        </w:rPr>
      </w:pPr>
      <w:r w:rsidRPr="0021102D">
        <w:rPr>
          <w:rFonts w:ascii="Sakkal Majalla" w:hAnsi="Sakkal Majalla" w:cs="Sakkal Majalla"/>
          <w:sz w:val="32"/>
          <w:szCs w:val="32"/>
          <w:rtl/>
          <w:lang w:bidi="ar-DZ"/>
        </w:rPr>
        <w:t xml:space="preserve">تهدف هذه الدراسة إلى تسليط الضوء على دور التمويل الإسلامي في تمويل المؤسسات الناشئة والصغيرة والمتوسطة، من خلال دراسة حالة "مصرف السلام </w:t>
      </w:r>
      <w:r>
        <w:rPr>
          <w:rFonts w:ascii="Sakkal Majalla" w:hAnsi="Sakkal Majalla" w:cs="Sakkal Majalla" w:hint="cs"/>
          <w:sz w:val="32"/>
          <w:szCs w:val="32"/>
          <w:rtl/>
          <w:lang w:bidi="ar-DZ"/>
        </w:rPr>
        <w:t>-</w:t>
      </w:r>
      <w:r w:rsidRPr="0021102D">
        <w:rPr>
          <w:rFonts w:ascii="Sakkal Majalla" w:hAnsi="Sakkal Majalla" w:cs="Sakkal Majalla"/>
          <w:sz w:val="32"/>
          <w:szCs w:val="32"/>
          <w:rtl/>
          <w:lang w:bidi="ar-DZ"/>
        </w:rPr>
        <w:t>الجزائ</w:t>
      </w:r>
      <w:r>
        <w:rPr>
          <w:rFonts w:ascii="Sakkal Majalla" w:hAnsi="Sakkal Majalla" w:cs="Sakkal Majalla" w:hint="cs"/>
          <w:sz w:val="32"/>
          <w:szCs w:val="32"/>
          <w:rtl/>
          <w:lang w:bidi="ar-DZ"/>
        </w:rPr>
        <w:t>ر-</w:t>
      </w:r>
      <w:r w:rsidRPr="0021102D">
        <w:rPr>
          <w:rFonts w:ascii="Sakkal Majalla" w:hAnsi="Sakkal Majalla" w:cs="Sakkal Majalla"/>
          <w:sz w:val="32"/>
          <w:szCs w:val="32"/>
          <w:rtl/>
          <w:lang w:bidi="ar-DZ"/>
        </w:rPr>
        <w:t xml:space="preserve">"، وذلك بتحليل مدى ملاءمة صيغ التمويل الإسلامي مع احتياجات هذه المؤسسات، وكذا استكشاف التحديات التي تواجهها أثناء طلب التمويل. اعتمدت الدراسة على المنهج الوصفي التحليلي، وتناولت الجانب التطبيقي من خلال دراسة الملفات التمويلية بمصرف </w:t>
      </w:r>
      <w:r w:rsidRPr="0021102D">
        <w:rPr>
          <w:rFonts w:ascii="Sakkal Majalla" w:hAnsi="Sakkal Majalla" w:cs="Sakkal Majalla" w:hint="cs"/>
          <w:sz w:val="32"/>
          <w:szCs w:val="32"/>
          <w:rtl/>
          <w:lang w:bidi="ar-DZ"/>
        </w:rPr>
        <w:t>السلام فرع</w:t>
      </w:r>
      <w:r w:rsidRPr="0021102D">
        <w:rPr>
          <w:rFonts w:ascii="Sakkal Majalla" w:hAnsi="Sakkal Majalla" w:cs="Sakkal Majalla"/>
          <w:sz w:val="32"/>
          <w:szCs w:val="32"/>
          <w:rtl/>
          <w:lang w:bidi="ar-DZ"/>
        </w:rPr>
        <w:t xml:space="preserve"> سطيف خلال الفترة الممتدة من 2018 إلى 2022.</w:t>
      </w:r>
    </w:p>
    <w:p w14:paraId="7DEAAEAC" w14:textId="77777777" w:rsidR="0084059D" w:rsidRPr="008C1791" w:rsidRDefault="0084059D" w:rsidP="0084059D">
      <w:pPr>
        <w:pStyle w:val="Paragraphedeliste"/>
        <w:tabs>
          <w:tab w:val="right" w:pos="282"/>
          <w:tab w:val="right" w:pos="566"/>
        </w:tabs>
        <w:bidi/>
        <w:spacing w:after="0" w:line="276" w:lineRule="auto"/>
        <w:ind w:left="-1"/>
        <w:jc w:val="both"/>
        <w:rPr>
          <w:rFonts w:ascii="Sakkal Majalla" w:hAnsi="Sakkal Majalla" w:cs="Sakkal Majalla"/>
          <w:sz w:val="32"/>
          <w:szCs w:val="32"/>
          <w:rtl/>
          <w:lang w:bidi="ar-DZ"/>
        </w:rPr>
      </w:pPr>
      <w:r w:rsidRPr="0021102D">
        <w:rPr>
          <w:rFonts w:ascii="Sakkal Majalla" w:hAnsi="Sakkal Majalla" w:cs="Sakkal Majalla"/>
          <w:sz w:val="32"/>
          <w:szCs w:val="32"/>
          <w:rtl/>
        </w:rPr>
        <w:t>وقد توصلت الدراسة إلى أن التمويل الإسلامي يوفر آليات تمويل مرنة وفعالة تتماشى مع خصوصيات المؤسسات المدروسة، كما أن مصرف السلام يقدّم مجموعة من المنتجات التمويلية التي تُراعي الضوابط الشرعية وتستجيب إلى حدّ ما لاحتياجات رواد الأعمال. غير أن الدراسة رصدت جملة من العراقيل، منها تحفظ البنوك في تقديم المعلومات، وضعف الثقافة المالية الإسلامية لدى أصحاب المشاريع، وتعقيد بعض الإجراءات البنكية</w:t>
      </w:r>
      <w:r w:rsidRPr="0021102D">
        <w:rPr>
          <w:rFonts w:ascii="Sakkal Majalla" w:hAnsi="Sakkal Majalla" w:cs="Sakkal Majalla"/>
          <w:sz w:val="32"/>
          <w:szCs w:val="32"/>
          <w:lang w:bidi="ar-DZ"/>
        </w:rPr>
        <w:t xml:space="preserve">. </w:t>
      </w:r>
      <w:r w:rsidRPr="0021102D">
        <w:rPr>
          <w:rFonts w:ascii="Sakkal Majalla" w:hAnsi="Sakkal Majalla" w:cs="Sakkal Majalla"/>
          <w:sz w:val="32"/>
          <w:szCs w:val="32"/>
          <w:rtl/>
        </w:rPr>
        <w:t>وفي ضوء النتائج المتوصل إليها، توصي الدراسة بضرورة تطوير صيغ التمويل الإسلامي لتتلاءم أكثر مع طبيعة المؤسسات الناشئة، وتعزيز التكوين والتوعية بالتمويل الإسلامي، مع العمل على تفعيل بيئة قانونية وتنظيمية أكثر دعما لهذا النوع من التمويل، بما يعزز مساهمة المؤسسات الناشئة والصغيرة والمتوسطة في التنمية الاقتصادية المستدامة</w:t>
      </w:r>
      <w:r w:rsidRPr="0021102D">
        <w:rPr>
          <w:rFonts w:ascii="Sakkal Majalla" w:hAnsi="Sakkal Majalla" w:cs="Sakkal Majalla"/>
          <w:sz w:val="32"/>
          <w:szCs w:val="32"/>
          <w:lang w:bidi="ar-DZ"/>
        </w:rPr>
        <w:t>.</w:t>
      </w:r>
    </w:p>
    <w:p w14:paraId="2F3BEAC8" w14:textId="77777777" w:rsidR="0084059D" w:rsidRPr="008B6D2B" w:rsidRDefault="0084059D" w:rsidP="0084059D">
      <w:pPr>
        <w:tabs>
          <w:tab w:val="right" w:pos="282"/>
          <w:tab w:val="right" w:pos="566"/>
        </w:tabs>
        <w:bidi/>
        <w:spacing w:after="0" w:line="276" w:lineRule="auto"/>
        <w:ind w:left="-1"/>
        <w:jc w:val="right"/>
        <w:rPr>
          <w:rFonts w:asciiTheme="majorBidi" w:eastAsia="Times New Roman" w:hAnsiTheme="majorBidi" w:cstheme="majorBidi"/>
          <w:sz w:val="28"/>
          <w:szCs w:val="28"/>
          <w:lang w:val="en-US" w:eastAsia="fr-FR"/>
        </w:rPr>
      </w:pPr>
      <w:r w:rsidRPr="008B6D2B">
        <w:rPr>
          <w:rFonts w:asciiTheme="majorBidi" w:eastAsia="Times New Roman" w:hAnsiTheme="majorBidi" w:cstheme="majorBidi"/>
          <w:sz w:val="28"/>
          <w:szCs w:val="28"/>
          <w:lang w:val="en-US" w:eastAsia="fr-FR"/>
        </w:rPr>
        <w:t xml:space="preserve">This study aims to shed light on the role of Islamic finance in </w:t>
      </w:r>
      <w:r>
        <w:rPr>
          <w:rFonts w:asciiTheme="majorBidi" w:eastAsia="Times New Roman" w:hAnsiTheme="majorBidi" w:cstheme="majorBidi"/>
          <w:sz w:val="28"/>
          <w:szCs w:val="28"/>
          <w:lang w:val="en-US" w:eastAsia="fr-FR"/>
        </w:rPr>
        <w:t>start-up</w:t>
      </w:r>
      <w:r w:rsidRPr="008B6D2B">
        <w:rPr>
          <w:rFonts w:asciiTheme="majorBidi" w:eastAsia="Times New Roman" w:hAnsiTheme="majorBidi" w:cstheme="majorBidi"/>
          <w:sz w:val="28"/>
          <w:szCs w:val="28"/>
          <w:lang w:val="en-US" w:eastAsia="fr-FR"/>
        </w:rPr>
        <w:t xml:space="preserve">, small and medium-sized enterprises (SMEs), through a case study of "Al Salam Bank - Algeria", by analyzing the suitability of Islamic finance formulas to the needs of these enterprises, as well as exploring the challenges they face during the request for financing. The study relied on a descriptive and analytical approach, and addressed the applied aspect by studying the financing files of Al Salam Bank - </w:t>
      </w:r>
      <w:proofErr w:type="spellStart"/>
      <w:r w:rsidRPr="008B6D2B">
        <w:rPr>
          <w:rFonts w:asciiTheme="majorBidi" w:eastAsia="Times New Roman" w:hAnsiTheme="majorBidi" w:cstheme="majorBidi"/>
          <w:sz w:val="28"/>
          <w:szCs w:val="28"/>
          <w:lang w:val="en-US" w:eastAsia="fr-FR"/>
        </w:rPr>
        <w:t>Setif</w:t>
      </w:r>
      <w:proofErr w:type="spellEnd"/>
      <w:r w:rsidRPr="008B6D2B">
        <w:rPr>
          <w:rFonts w:asciiTheme="majorBidi" w:eastAsia="Times New Roman" w:hAnsiTheme="majorBidi" w:cstheme="majorBidi"/>
          <w:sz w:val="28"/>
          <w:szCs w:val="28"/>
          <w:lang w:val="en-US" w:eastAsia="fr-FR"/>
        </w:rPr>
        <w:t xml:space="preserve"> branch during the period from 2018 to 2022.</w:t>
      </w:r>
    </w:p>
    <w:p w14:paraId="28AABC85" w14:textId="77777777" w:rsidR="0084059D" w:rsidRDefault="0084059D" w:rsidP="0084059D">
      <w:pPr>
        <w:tabs>
          <w:tab w:val="right" w:pos="282"/>
          <w:tab w:val="right" w:pos="566"/>
        </w:tabs>
        <w:bidi/>
        <w:spacing w:after="0" w:line="276" w:lineRule="auto"/>
        <w:ind w:left="-1"/>
        <w:jc w:val="right"/>
        <w:rPr>
          <w:rFonts w:asciiTheme="majorBidi" w:eastAsia="Times New Roman" w:hAnsiTheme="majorBidi" w:cstheme="majorBidi"/>
          <w:sz w:val="28"/>
          <w:szCs w:val="28"/>
          <w:lang w:val="en-US" w:eastAsia="fr-FR"/>
        </w:rPr>
      </w:pPr>
      <w:r w:rsidRPr="008B6D2B">
        <w:rPr>
          <w:rFonts w:asciiTheme="majorBidi" w:eastAsia="Times New Roman" w:hAnsiTheme="majorBidi" w:cstheme="majorBidi"/>
          <w:sz w:val="28"/>
          <w:szCs w:val="28"/>
          <w:lang w:val="en-US" w:eastAsia="fr-FR"/>
        </w:rPr>
        <w:t xml:space="preserve">The study found that Islamic finance provides flexible and effective financing mechanisms that are in line with the characteristics of the studied organizations, and that Al Salam Bank offers a range of financing products that respect </w:t>
      </w:r>
      <w:proofErr w:type="spellStart"/>
      <w:r w:rsidRPr="008B6D2B">
        <w:rPr>
          <w:rFonts w:asciiTheme="majorBidi" w:eastAsia="Times New Roman" w:hAnsiTheme="majorBidi" w:cstheme="majorBidi"/>
          <w:sz w:val="28"/>
          <w:szCs w:val="28"/>
          <w:lang w:val="en-US" w:eastAsia="fr-FR"/>
        </w:rPr>
        <w:t>Shari'ah</w:t>
      </w:r>
      <w:proofErr w:type="spellEnd"/>
      <w:r w:rsidRPr="008B6D2B">
        <w:rPr>
          <w:rFonts w:asciiTheme="majorBidi" w:eastAsia="Times New Roman" w:hAnsiTheme="majorBidi" w:cstheme="majorBidi"/>
          <w:sz w:val="28"/>
          <w:szCs w:val="28"/>
          <w:lang w:val="en-US" w:eastAsia="fr-FR"/>
        </w:rPr>
        <w:t xml:space="preserve"> regulations and respond to some extent to the needs of entrepreneurs. However, the study identified a number of obstacles, including banks' reticence in providing information, poor Islamic financial literacy among entrepreneurs, and the complexity of some banking procedures. In light of the findings, the study recommends the need to develop Islamic finance formulas to better suit the nature of start-ups, enhance training and awareness of Islamic finance, and work to activate a more supportive legal and regulatory environment for this type of finance, in order to enhance the contribution of SMEs to sustainable economic development.</w:t>
      </w:r>
    </w:p>
    <w:p w14:paraId="5955D79C" w14:textId="77777777" w:rsidR="00F33B6E" w:rsidRPr="0084059D" w:rsidRDefault="00F33B6E">
      <w:pPr>
        <w:rPr>
          <w:lang w:val="en-US"/>
        </w:rPr>
      </w:pPr>
    </w:p>
    <w:sectPr w:rsidR="00F33B6E" w:rsidRPr="0084059D" w:rsidSect="00D67D03">
      <w:headerReference w:type="default" r:id="rId6"/>
      <w:pgSz w:w="11906" w:h="16838" w:code="9"/>
      <w:pgMar w:top="1134" w:right="1134" w:bottom="1134" w:left="1134"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65AA" w14:textId="77777777" w:rsidR="003D5231" w:rsidRDefault="003D5231" w:rsidP="0084059D">
      <w:pPr>
        <w:spacing w:after="0" w:line="240" w:lineRule="auto"/>
      </w:pPr>
      <w:r>
        <w:separator/>
      </w:r>
    </w:p>
  </w:endnote>
  <w:endnote w:type="continuationSeparator" w:id="0">
    <w:p w14:paraId="7B4295D2" w14:textId="77777777" w:rsidR="003D5231" w:rsidRDefault="003D5231" w:rsidP="0084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ll Genders v4">
    <w:panose1 w:val="00000800000000000000"/>
    <w:charset w:val="00"/>
    <w:family w:val="modern"/>
    <w:notTrueType/>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E200" w14:textId="77777777" w:rsidR="003D5231" w:rsidRDefault="003D5231" w:rsidP="0084059D">
      <w:pPr>
        <w:spacing w:after="0" w:line="240" w:lineRule="auto"/>
      </w:pPr>
      <w:r>
        <w:separator/>
      </w:r>
    </w:p>
  </w:footnote>
  <w:footnote w:type="continuationSeparator" w:id="0">
    <w:p w14:paraId="1CD0D073" w14:textId="77777777" w:rsidR="003D5231" w:rsidRDefault="003D5231" w:rsidP="00840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AD4D" w14:textId="77777777" w:rsidR="00DC1F05" w:rsidRPr="00134C58" w:rsidRDefault="003D5231" w:rsidP="00134C58">
    <w:pPr>
      <w:pStyle w:val="En-tte"/>
      <w:pBdr>
        <w:bottom w:val="single" w:sz="4" w:space="1" w:color="12426D"/>
      </w:pBdr>
      <w:bidi/>
      <w:jc w:val="center"/>
      <w:rPr>
        <w:rFonts w:ascii="All Genders v4" w:hAnsi="All Genders v4" w:cs="All Genders v4"/>
        <w:color w:val="12426D"/>
        <w:sz w:val="32"/>
        <w:szCs w:val="32"/>
        <w:lang w:bidi="ar-DZ"/>
      </w:rPr>
    </w:pPr>
    <w:r>
      <w:rPr>
        <w:rFonts w:ascii="All Genders v4" w:hAnsi="All Genders v4" w:cs="All Genders v4" w:hint="cs"/>
        <w:noProof/>
        <w:color w:val="12426D"/>
        <w:sz w:val="32"/>
        <w:szCs w:val="32"/>
        <w:rtl/>
        <w:lang w:val="ar-DZ" w:bidi="ar-DZ"/>
      </w:rPr>
      <mc:AlternateContent>
        <mc:Choice Requires="wps">
          <w:drawing>
            <wp:anchor distT="0" distB="0" distL="114300" distR="114300" simplePos="0" relativeHeight="251659264" behindDoc="0" locked="0" layoutInCell="1" allowOverlap="1" wp14:anchorId="3133C75F" wp14:editId="6AAB389C">
              <wp:simplePos x="0" y="0"/>
              <wp:positionH relativeFrom="column">
                <wp:posOffset>-631190</wp:posOffset>
              </wp:positionH>
              <wp:positionV relativeFrom="paragraph">
                <wp:posOffset>-74295</wp:posOffset>
              </wp:positionV>
              <wp:extent cx="1905000" cy="412750"/>
              <wp:effectExtent l="0" t="0" r="19050" b="25400"/>
              <wp:wrapNone/>
              <wp:docPr id="460" name="Text Box 460"/>
              <wp:cNvGraphicFramePr/>
              <a:graphic xmlns:a="http://schemas.openxmlformats.org/drawingml/2006/main">
                <a:graphicData uri="http://schemas.microsoft.com/office/word/2010/wordprocessingShape">
                  <wps:wsp>
                    <wps:cNvSpPr txBox="1"/>
                    <wps:spPr>
                      <a:xfrm>
                        <a:off x="0" y="0"/>
                        <a:ext cx="1905000" cy="412750"/>
                      </a:xfrm>
                      <a:prstGeom prst="rect">
                        <a:avLst/>
                      </a:prstGeom>
                      <a:solidFill>
                        <a:srgbClr val="12426D"/>
                      </a:solidFill>
                      <a:ln w="6350">
                        <a:solidFill>
                          <a:prstClr val="black"/>
                        </a:solidFill>
                      </a:ln>
                    </wps:spPr>
                    <wps:txbx>
                      <w:txbxContent>
                        <w:p w14:paraId="1093CA94" w14:textId="77777777" w:rsidR="00DC1F05" w:rsidRPr="00DC1F05" w:rsidRDefault="003D5231" w:rsidP="00EB521C">
                          <w:pPr>
                            <w:jc w:val="right"/>
                            <w:rPr>
                              <w:rFonts w:ascii="All Genders v4" w:hAnsi="All Genders v4" w:cs="All Genders v4"/>
                              <w:sz w:val="32"/>
                              <w:szCs w:val="32"/>
                              <w:rtl/>
                              <w:lang w:bidi="ar-AE"/>
                            </w:rPr>
                          </w:pPr>
                          <w:r>
                            <w:rPr>
                              <w:rFonts w:ascii="All Genders v4" w:hAnsi="All Genders v4" w:cs="All Genders v4" w:hint="cs"/>
                              <w:sz w:val="32"/>
                              <w:szCs w:val="32"/>
                              <w:rtl/>
                              <w:lang w:bidi="ar-AE"/>
                            </w:rPr>
                            <w:t>الملخص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3C75F" id="_x0000_t202" coordsize="21600,21600" o:spt="202" path="m,l,21600r21600,l21600,xe">
              <v:stroke joinstyle="miter"/>
              <v:path gradientshapeok="t" o:connecttype="rect"/>
            </v:shapetype>
            <v:shape id="Text Box 460" o:spid="_x0000_s1026" type="#_x0000_t202" style="position:absolute;left:0;text-align:left;margin-left:-49.7pt;margin-top:-5.85pt;width:150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" fillcolor="#12426d" strokeweight=".5pt">
              <v:textbox>
                <w:txbxContent>
                  <w:p w14:paraId="1093CA94" w14:textId="77777777" w:rsidR="00DC1F05" w:rsidRPr="00DC1F05" w:rsidRDefault="003D5231" w:rsidP="00EB521C">
                    <w:pPr>
                      <w:jc w:val="right"/>
                      <w:rPr>
                        <w:rFonts w:ascii="All Genders v4" w:hAnsi="All Genders v4" w:cs="All Genders v4"/>
                        <w:sz w:val="32"/>
                        <w:szCs w:val="32"/>
                        <w:rtl/>
                        <w:lang w:bidi="ar-AE"/>
                      </w:rPr>
                    </w:pPr>
                    <w:r>
                      <w:rPr>
                        <w:rFonts w:ascii="All Genders v4" w:hAnsi="All Genders v4" w:cs="All Genders v4" w:hint="cs"/>
                        <w:sz w:val="32"/>
                        <w:szCs w:val="32"/>
                        <w:rtl/>
                        <w:lang w:bidi="ar-AE"/>
                      </w:rPr>
                      <w:t>الملخص</w:t>
                    </w:r>
                  </w:p>
                </w:txbxContent>
              </v:textbox>
            </v:shape>
          </w:pict>
        </mc:Fallback>
      </mc:AlternateContent>
    </w:r>
    <w:r>
      <w:rPr>
        <w:rFonts w:ascii="All Genders v4" w:hAnsi="All Genders v4" w:cs="All Genders v4" w:hint="cs"/>
        <w:color w:val="12426D"/>
        <w:sz w:val="32"/>
        <w:szCs w:val="32"/>
        <w:rtl/>
        <w:lang w:bidi="ar-DZ"/>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9D"/>
    <w:rsid w:val="003D5231"/>
    <w:rsid w:val="0084059D"/>
    <w:rsid w:val="00F33B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35349"/>
  <w15:chartTrackingRefBased/>
  <w15:docId w15:val="{65F0553A-7017-41DA-ACDB-42BC3AB6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5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059D"/>
    <w:pPr>
      <w:ind w:left="720"/>
      <w:contextualSpacing/>
    </w:pPr>
  </w:style>
  <w:style w:type="paragraph" w:styleId="En-tte">
    <w:name w:val="header"/>
    <w:basedOn w:val="Normal"/>
    <w:link w:val="En-tteCar"/>
    <w:uiPriority w:val="99"/>
    <w:unhideWhenUsed/>
    <w:rsid w:val="0084059D"/>
    <w:pPr>
      <w:tabs>
        <w:tab w:val="center" w:pos="4153"/>
        <w:tab w:val="right" w:pos="8306"/>
      </w:tabs>
      <w:spacing w:after="0" w:line="240" w:lineRule="auto"/>
    </w:pPr>
  </w:style>
  <w:style w:type="character" w:customStyle="1" w:styleId="En-tteCar">
    <w:name w:val="En-tête Car"/>
    <w:basedOn w:val="Policepardfaut"/>
    <w:link w:val="En-tte"/>
    <w:uiPriority w:val="99"/>
    <w:rsid w:val="0084059D"/>
  </w:style>
  <w:style w:type="paragraph" w:styleId="Pieddepage">
    <w:name w:val="footer"/>
    <w:basedOn w:val="Normal"/>
    <w:link w:val="PieddepageCar"/>
    <w:uiPriority w:val="99"/>
    <w:unhideWhenUsed/>
    <w:rsid w:val="008405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0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2171</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2025-07-13T12:12:00Z</dcterms:created>
  <dcterms:modified xsi:type="dcterms:W3CDTF">2025-07-13T12:14:00Z</dcterms:modified>
</cp:coreProperties>
</file>