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E53" w:rsidRDefault="0069725D">
      <w:r>
        <w:rPr>
          <w:noProof/>
        </w:rPr>
        <w:pict>
          <v:rect id="Rectangle 3" o:spid="_x0000_s1026" style="position:absolute;margin-left:-5.3pt;margin-top:6.6pt;width:475.5pt;height:647.25pt;z-index:251658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" fillcolor="white [3201]" strokecolor="black [3200]" strokeweight="2pt">
            <v:path arrowok="t"/>
            <v:textbox>
              <w:txbxContent>
                <w:p w:rsidR="0069725D" w:rsidRDefault="0069725D" w:rsidP="0069725D">
                  <w:pPr>
                    <w:bidi/>
                    <w:jc w:val="center"/>
                    <w:rPr>
                      <w:rtl/>
                    </w:rPr>
                  </w:pPr>
                  <w:proofErr w:type="gramStart"/>
                  <w:r w:rsidRPr="003066EF">
                    <w:rPr>
                      <w:rFonts w:ascii="Simplified Arabic" w:hAnsi="Simplified Arabic" w:cs="Simplified Arabic"/>
                      <w:b/>
                      <w:bCs/>
                      <w:sz w:val="34"/>
                      <w:szCs w:val="34"/>
                      <w:rtl/>
                    </w:rPr>
                    <w:t>الملخص</w:t>
                  </w:r>
                  <w:proofErr w:type="gramEnd"/>
                  <w:r w:rsidRPr="003066EF">
                    <w:rPr>
                      <w:rFonts w:ascii="Simplified Arabic" w:hAnsi="Simplified Arabic" w:cs="Simplified Arabic"/>
                      <w:b/>
                      <w:bCs/>
                      <w:sz w:val="34"/>
                      <w:szCs w:val="34"/>
                    </w:rPr>
                    <w:t>:</w:t>
                  </w:r>
                </w:p>
                <w:p w:rsidR="0069725D" w:rsidRPr="001A54EC" w:rsidRDefault="0069725D" w:rsidP="0069725D">
                  <w:pPr>
                    <w:bidi/>
                    <w:ind w:firstLine="525"/>
                    <w:jc w:val="center"/>
                    <w:rPr>
                      <w:rFonts w:ascii="Sakkal Majalla" w:hAnsi="Sakkal Majalla" w:cs="Sakkal Majalla"/>
                      <w:sz w:val="32"/>
                      <w:szCs w:val="32"/>
                    </w:rPr>
                  </w:pPr>
                  <w:r w:rsidRPr="001A54EC">
                    <w:rPr>
                      <w:rFonts w:ascii="Sakkal Majalla" w:hAnsi="Sakkal Majalla" w:cs="Sakkal Majalla"/>
                      <w:sz w:val="32"/>
                      <w:szCs w:val="32"/>
                      <w:rtl/>
                    </w:rPr>
                    <w:t>تهدف هذه الدراسة إلى إبراز الخصوصيات المحاسبية للقطاع الفلاحي في الجزائر من خلال مقارنة النظام المحاسبي المالي المكيف</w:t>
                  </w:r>
                  <w:r w:rsidRPr="001A54EC">
                    <w:rPr>
                      <w:rFonts w:ascii="Sakkal Majalla" w:hAnsi="Sakkal Majalla" w:cs="Sakkal Majalla" w:hint="cs"/>
                      <w:sz w:val="32"/>
                      <w:szCs w:val="32"/>
                      <w:rtl/>
                    </w:rPr>
                    <w:t xml:space="preserve"> للقطاع الفلاحي ومعيار</w:t>
                  </w:r>
                  <w:r w:rsidRPr="001A54EC">
                    <w:rPr>
                      <w:rFonts w:ascii="Sakkal Majalla" w:hAnsi="Sakkal Majalla" w:cs="Sakkal Majalla"/>
                      <w:sz w:val="32"/>
                      <w:szCs w:val="32"/>
                      <w:rtl/>
                    </w:rPr>
                    <w:t xml:space="preserve"> المحاسبة الدولي رقم 41، وتحليل أثر ذلك على الممارسات المحاسبية في الوحدات الفلاحية. وتبرز أهمية الدراسة في الحاجة إلى أنظمة محاسبية متخصصة تراعي موسمية الإنتاج وصعوبة التنبؤ وتنوع الأصول البيولوجية.</w:t>
                  </w:r>
                </w:p>
                <w:p w:rsidR="0069725D" w:rsidRPr="001A54EC" w:rsidRDefault="0069725D" w:rsidP="0069725D">
                  <w:pPr>
                    <w:bidi/>
                    <w:ind w:firstLine="525"/>
                    <w:jc w:val="center"/>
                    <w:rPr>
                      <w:rFonts w:ascii="Sakkal Majalla" w:hAnsi="Sakkal Majalla" w:cs="Sakkal Majalla"/>
                      <w:sz w:val="32"/>
                      <w:szCs w:val="32"/>
                    </w:rPr>
                  </w:pPr>
                  <w:r w:rsidRPr="001A54EC">
                    <w:rPr>
                      <w:rFonts w:ascii="Sakkal Majalla" w:hAnsi="Sakkal Majalla" w:cs="Sakkal Majalla"/>
                      <w:sz w:val="32"/>
                      <w:szCs w:val="32"/>
                      <w:rtl/>
                    </w:rPr>
                    <w:t>أظهرت النتائج التطبيقية أن الوحدة الفلاحية المدروسة لا تعتمد المخطط المحاسبي الخاص بالقطاع الفلاحي، بل تستخدم النظام المحاسبي المالي العام (</w:t>
                  </w:r>
                  <w:r w:rsidRPr="001A54EC">
                    <w:rPr>
                      <w:rFonts w:ascii="Sakkal Majalla" w:hAnsi="Sakkal Majalla" w:cs="Sakkal Majalla"/>
                      <w:sz w:val="32"/>
                      <w:szCs w:val="32"/>
                    </w:rPr>
                    <w:t>SCF</w:t>
                  </w:r>
                  <w:r w:rsidRPr="001A54EC">
                    <w:rPr>
                      <w:rFonts w:ascii="Sakkal Majalla" w:hAnsi="Sakkal Majalla" w:cs="Sakkal Majalla"/>
                      <w:sz w:val="32"/>
                      <w:szCs w:val="32"/>
                      <w:rtl/>
                    </w:rPr>
                    <w:t>) دون الالتزام بالمعايير الدولية، مع نقص في تكوين الطاقم المحاسبي، مما يؤثر على دقة وشفافية التقارير المالية.</w:t>
                  </w:r>
                </w:p>
                <w:p w:rsidR="0069725D" w:rsidRPr="001A54EC" w:rsidRDefault="0069725D" w:rsidP="0069725D">
                  <w:pPr>
                    <w:bidi/>
                    <w:jc w:val="center"/>
                    <w:rPr>
                      <w:rFonts w:ascii="Sakkal Majalla" w:hAnsi="Sakkal Majalla" w:cs="Sakkal Majalla"/>
                      <w:b/>
                      <w:bCs/>
                      <w:sz w:val="32"/>
                      <w:szCs w:val="32"/>
                      <w:rtl/>
                    </w:rPr>
                  </w:pPr>
                  <w:r w:rsidRPr="001A54EC">
                    <w:rPr>
                      <w:rFonts w:ascii="Sakkal Majalla" w:hAnsi="Sakkal Majalla" w:cs="Sakkal Majalla"/>
                      <w:b/>
                      <w:bCs/>
                      <w:sz w:val="32"/>
                      <w:szCs w:val="32"/>
                      <w:rtl/>
                    </w:rPr>
                    <w:t>الكلمات المفتاحية: المحاسبة الفلاحية، النظام المحاسبي المالي المكيف</w:t>
                  </w:r>
                  <w:r>
                    <w:rPr>
                      <w:rFonts w:ascii="Sakkal Majalla" w:hAnsi="Sakkal Majalla" w:cs="Sakkal Majalla" w:hint="cs"/>
                      <w:b/>
                      <w:bCs/>
                      <w:sz w:val="32"/>
                      <w:szCs w:val="32"/>
                      <w:rtl/>
                    </w:rPr>
                    <w:t xml:space="preserve"> للقطاع الفلاحي</w:t>
                  </w:r>
                  <w:r w:rsidRPr="001A54EC">
                    <w:rPr>
                      <w:rFonts w:ascii="Sakkal Majalla" w:hAnsi="Sakkal Majalla" w:cs="Sakkal Majalla"/>
                      <w:b/>
                      <w:bCs/>
                      <w:sz w:val="32"/>
                      <w:szCs w:val="32"/>
                      <w:rtl/>
                    </w:rPr>
                    <w:t>، معيار المحاسبة الدولي 41، الأصول البيولوجية.</w:t>
                  </w:r>
                </w:p>
                <w:p w:rsidR="0069725D" w:rsidRPr="003066EF" w:rsidRDefault="0069725D" w:rsidP="0069725D">
                  <w:pPr>
                    <w:bidi/>
                    <w:jc w:val="center"/>
                    <w:rPr>
                      <w:rFonts w:ascii="Simplified Arabic" w:hAnsi="Simplified Arabic" w:cs="Simplified Arabic"/>
                      <w:b/>
                      <w:bCs/>
                      <w:sz w:val="34"/>
                      <w:szCs w:val="34"/>
                    </w:rPr>
                  </w:pPr>
                  <w:r>
                    <w:rPr>
                      <w:rFonts w:ascii="Simplified Arabic" w:hAnsi="Simplified Arabic" w:cs="Simplified Arabic" w:hint="cs"/>
                      <w:b/>
                      <w:bCs/>
                      <w:sz w:val="34"/>
                      <w:szCs w:val="34"/>
                      <w:rtl/>
                    </w:rPr>
                    <w:t>الكلمات المفتاحية</w:t>
                  </w:r>
                </w:p>
                <w:p w:rsidR="0069725D" w:rsidRDefault="0069725D" w:rsidP="0069725D">
                  <w:pPr>
                    <w:bidi/>
                    <w:jc w:val="center"/>
                    <w:rPr>
                      <w:rFonts w:asciiTheme="majorBidi" w:hAnsiTheme="majorBidi" w:cstheme="majorBidi"/>
                      <w:b/>
                      <w:bCs/>
                      <w:sz w:val="28"/>
                      <w:szCs w:val="28"/>
                      <w:rtl/>
                      <w:lang w:val="en-US"/>
                    </w:rPr>
                  </w:pPr>
                  <w:r w:rsidRPr="001A54EC">
                    <w:rPr>
                      <w:rFonts w:asciiTheme="majorBidi" w:hAnsiTheme="majorBidi" w:cstheme="majorBidi"/>
                      <w:b/>
                      <w:bCs/>
                      <w:sz w:val="28"/>
                      <w:szCs w:val="28"/>
                      <w:lang w:val="en-US"/>
                    </w:rPr>
                    <w:t>Résumé:</w:t>
                  </w:r>
                </w:p>
                <w:p w:rsidR="0069725D" w:rsidRPr="00672DBE" w:rsidRDefault="0069725D" w:rsidP="0069725D">
                  <w:pPr>
                    <w:ind w:firstLine="567"/>
                    <w:jc w:val="center"/>
                    <w:rPr>
                      <w:rFonts w:asciiTheme="majorBidi" w:hAnsiTheme="majorBidi" w:cstheme="majorBidi"/>
                      <w:sz w:val="28"/>
                      <w:szCs w:val="28"/>
                      <w:lang w:val="en-US"/>
                    </w:rPr>
                  </w:pPr>
                  <w:r w:rsidRPr="00672DBE">
                    <w:rPr>
                      <w:rFonts w:asciiTheme="majorBidi" w:hAnsiTheme="majorBidi" w:cstheme="majorBidi"/>
                      <w:sz w:val="28"/>
                      <w:szCs w:val="28"/>
                      <w:lang w:val="en-US"/>
                    </w:rPr>
                    <w:t>The study aims to highlight the accounting specificities of the agricultural sector in Algeria by comparing the adapted financial accounting system for the agricultural sector with International Accounting Standard No. 41, and analyzing the impact of this on accounting practices in agricultural units. The importance of the study lies in the need for specialized accounting systems that consider the seasonality of production, the difficulty of forecasting, and the diversity of biological assets. The practical results showed that the studied agricultural unit does not use the specific accounting plan for the agricultural sector but rather applies the general financial accounting system (SCF) without adhering to international standards, coupled with a lack of training for the accounting staff, which affects the accuracy and transparency of financial reports.</w:t>
                  </w:r>
                </w:p>
                <w:p w:rsidR="0069725D" w:rsidRPr="001A54EC" w:rsidRDefault="0069725D" w:rsidP="0069725D">
                  <w:pPr>
                    <w:jc w:val="center"/>
                    <w:rPr>
                      <w:rFonts w:ascii="Simplified Arabic" w:hAnsi="Simplified Arabic" w:cs="Simplified Arabic"/>
                      <w:sz w:val="32"/>
                      <w:szCs w:val="32"/>
                      <w:lang w:val="en-US"/>
                    </w:rPr>
                  </w:pPr>
                </w:p>
              </w:txbxContent>
            </v:textbox>
            <w10:wrap anchorx="margin"/>
          </v:rect>
        </w:pict>
      </w:r>
    </w:p>
    <w:sectPr w:rsidR="00E30E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characterSpacingControl w:val="doNotCompress"/>
  <w:compat>
    <w:useFELayout/>
  </w:compat>
  <w:rsids>
    <w:rsidRoot w:val="0069725D"/>
    <w:rsid w:val="0069725D"/>
    <w:rsid w:val="00E30E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taleb yahia</dc:creator>
  <cp:keywords/>
  <dc:description/>
  <cp:lastModifiedBy>taleb yahia</cp:lastModifiedBy>
  <cp:revision>2</cp:revision>
  <dcterms:created xsi:type="dcterms:W3CDTF">2025-07-13T11:46:00Z</dcterms:created>
  <dcterms:modified xsi:type="dcterms:W3CDTF">2025-07-13T11:46:00Z</dcterms:modified>
</cp:coreProperties>
</file>