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12" w:rsidRPr="00FE6D12" w:rsidRDefault="00FE6D12" w:rsidP="00FE6D12">
      <w:pPr>
        <w:spacing w:after="0" w:line="240" w:lineRule="auto"/>
        <w:rPr>
          <w:rFonts w:ascii="Times New Roman Gras" w:eastAsia="Times New Roman" w:hAnsi="Times New Roman Gras" w:cs="Times New Roman"/>
          <w:b/>
          <w:bCs/>
          <w:color w:val="000000"/>
          <w:sz w:val="28"/>
          <w:lang w:eastAsia="fr-FR"/>
        </w:rPr>
      </w:pPr>
      <w:r w:rsidRPr="00FE6D12">
        <w:rPr>
          <w:rFonts w:ascii="Times New Roman Gras" w:eastAsia="Times New Roman" w:hAnsi="Times New Roman Gras" w:cs="Times New Roman"/>
          <w:b/>
          <w:bCs/>
          <w:color w:val="000000"/>
          <w:sz w:val="28"/>
          <w:lang w:eastAsia="fr-FR"/>
        </w:rPr>
        <w:t>1. Résumé :</w:t>
      </w:r>
    </w:p>
    <w:p w:rsidR="00FE6D12" w:rsidRPr="00FE6D12" w:rsidRDefault="00FE6D12" w:rsidP="00FE6D12">
      <w:pPr>
        <w:spacing w:after="0" w:line="240" w:lineRule="auto"/>
        <w:rPr>
          <w:rFonts w:ascii="Times New Roman" w:eastAsia="Times New Roman" w:hAnsi="Times New Roman" w:cs="Times New Roman"/>
          <w:color w:val="000000"/>
          <w:sz w:val="24"/>
          <w:lang w:eastAsia="fr-FR"/>
        </w:rPr>
      </w:pPr>
      <w:r w:rsidRPr="00FE6D12">
        <w:rPr>
          <w:rFonts w:ascii="Times New Roman" w:eastAsia="Times New Roman" w:hAnsi="Times New Roman" w:cs="Times New Roman"/>
          <w:color w:val="000000"/>
          <w:sz w:val="24"/>
          <w:lang w:eastAsia="fr-FR"/>
        </w:rPr>
        <w:t>Le présent travail a été proposé dans le but d’étudier l’éclairage d’une salle de sport tenant compte de deux locaux principaux la salle ou le terrain de jeux et un bureau1. Se basant sur les directive de la norme en vigueur soit NF EN 12193 et exploitant un logiciel de calcul et de simulation DIALUX exploitant la base de données fourni par le fournisseur d’équipement d’éclairage disponible sur internet des luminaires choisi pour l’éclairage des espaces prédéfinis.</w:t>
      </w:r>
    </w:p>
    <w:p w:rsidR="00FE6D12" w:rsidRPr="00FE6D12" w:rsidRDefault="00FE6D12" w:rsidP="00FE6D12">
      <w:pPr>
        <w:spacing w:after="0" w:line="240" w:lineRule="auto"/>
        <w:jc w:val="right"/>
        <w:rPr>
          <w:rFonts w:ascii="Times New Roman Gras" w:eastAsia="Times New Roman" w:hAnsi="Times New Roman Gras" w:cs="Times New Roman"/>
          <w:b/>
          <w:bCs/>
          <w:color w:val="000000"/>
          <w:sz w:val="28"/>
          <w:lang w:eastAsia="fr-FR"/>
        </w:rPr>
      </w:pPr>
      <w:r w:rsidRPr="00FE6D12">
        <w:rPr>
          <w:rFonts w:ascii="Times New Roman Gras" w:eastAsia="Times New Roman" w:hAnsi="Times New Roman Gras" w:cs="Times New Roman"/>
          <w:b/>
          <w:bCs/>
          <w:color w:val="000000"/>
          <w:sz w:val="26"/>
          <w:lang w:eastAsia="fr-FR"/>
        </w:rPr>
        <w:t>.</w:t>
      </w:r>
      <w:r w:rsidRPr="00FE6D12">
        <w:rPr>
          <w:rFonts w:ascii="Times New Roman Gras" w:eastAsia="Times New Roman" w:hAnsi="Times New Roman Gras" w:cs="Times New Roman"/>
          <w:b/>
          <w:bCs/>
          <w:color w:val="000000"/>
          <w:sz w:val="28"/>
          <w:lang w:eastAsia="fr-FR"/>
        </w:rPr>
        <w:t>2</w:t>
      </w:r>
      <w:r w:rsidRPr="00FE6D12">
        <w:rPr>
          <w:rFonts w:ascii="Times New Roman Gras" w:eastAsia="Times New Roman" w:hAnsi="Times New Roman Gras" w:cs="Times New Roman"/>
          <w:b/>
          <w:bCs/>
          <w:color w:val="000000"/>
          <w:sz w:val="28"/>
          <w:rtl/>
          <w:lang w:eastAsia="fr-FR"/>
        </w:rPr>
        <w:t>المـلـخــص</w:t>
      </w:r>
      <w:r w:rsidRPr="00FE6D12">
        <w:rPr>
          <w:rFonts w:ascii="Times New Roman Gras" w:eastAsia="Times New Roman" w:hAnsi="Times New Roman Gras" w:cs="Times New Roman"/>
          <w:b/>
          <w:bCs/>
          <w:color w:val="000000"/>
          <w:sz w:val="28"/>
          <w:lang w:eastAsia="fr-FR"/>
        </w:rPr>
        <w:t xml:space="preserve"> :</w:t>
      </w:r>
    </w:p>
    <w:p w:rsidR="00FE6D12" w:rsidRPr="00FE6D12" w:rsidRDefault="00FE6D12" w:rsidP="00FE6D12">
      <w:pPr>
        <w:spacing w:after="0" w:line="240" w:lineRule="auto"/>
        <w:jc w:val="right"/>
        <w:rPr>
          <w:rFonts w:ascii="Times New Roman" w:eastAsia="Times New Roman" w:hAnsi="Times New Roman" w:cs="Times New Roman"/>
          <w:color w:val="000000"/>
          <w:sz w:val="24"/>
          <w:lang w:eastAsia="fr-FR"/>
        </w:rPr>
      </w:pPr>
      <w:r w:rsidRPr="00FE6D12">
        <w:rPr>
          <w:rFonts w:ascii="Times New Roman" w:eastAsia="Times New Roman" w:hAnsi="Times New Roman" w:cs="Times New Roman"/>
          <w:color w:val="000000"/>
          <w:sz w:val="24"/>
          <w:rtl/>
          <w:lang w:eastAsia="fr-FR"/>
        </w:rPr>
        <w:t>وقد اقترح هذا العمل بهدف دراسة إضاءة صالة ألعاب ریاضية مع مراعاة غرفتين رئيسيتين في القاعة أو الملعب</w:t>
      </w:r>
    </w:p>
    <w:p w:rsidR="00FE6D12" w:rsidRPr="00FE6D12" w:rsidRDefault="00FE6D12" w:rsidP="00FE6D12">
      <w:pPr>
        <w:spacing w:after="0" w:line="240" w:lineRule="auto"/>
        <w:jc w:val="right"/>
        <w:rPr>
          <w:rFonts w:ascii="Times New Roman" w:eastAsia="Times New Roman" w:hAnsi="Times New Roman" w:cs="Times New Roman"/>
          <w:color w:val="000000"/>
          <w:sz w:val="24"/>
          <w:lang w:eastAsia="fr-FR"/>
        </w:rPr>
      </w:pPr>
      <w:proofErr w:type="gramStart"/>
      <w:r w:rsidRPr="00FE6D12">
        <w:rPr>
          <w:rFonts w:ascii="Times New Roman" w:eastAsia="Times New Roman" w:hAnsi="Times New Roman" w:cs="Times New Roman"/>
          <w:color w:val="000000"/>
          <w:sz w:val="24"/>
          <w:rtl/>
          <w:lang w:eastAsia="fr-FR"/>
        </w:rPr>
        <w:t>ومكتب .</w:t>
      </w:r>
      <w:proofErr w:type="gramEnd"/>
      <w:r w:rsidRPr="00FE6D12">
        <w:rPr>
          <w:rFonts w:ascii="Times New Roman" w:eastAsia="Times New Roman" w:hAnsi="Times New Roman" w:cs="Times New Roman"/>
          <w:color w:val="000000"/>
          <w:sz w:val="24"/>
          <w:rtl/>
          <w:lang w:eastAsia="fr-FR"/>
        </w:rPr>
        <w:t xml:space="preserve">1استنادا إلى المبادئ التوجيهية للمعیار المعمول </w:t>
      </w:r>
      <w:proofErr w:type="spellStart"/>
      <w:r w:rsidRPr="00FE6D12">
        <w:rPr>
          <w:rFonts w:ascii="Times New Roman" w:eastAsia="Times New Roman" w:hAnsi="Times New Roman" w:cs="Times New Roman"/>
          <w:color w:val="000000"/>
          <w:sz w:val="24"/>
          <w:rtl/>
          <w:lang w:eastAsia="fr-FR"/>
        </w:rPr>
        <w:t>به</w:t>
      </w:r>
      <w:proofErr w:type="spellEnd"/>
      <w:r w:rsidRPr="00FE6D12">
        <w:rPr>
          <w:rFonts w:ascii="Times New Roman" w:eastAsia="Times New Roman" w:hAnsi="Times New Roman" w:cs="Times New Roman"/>
          <w:color w:val="000000"/>
          <w:sz w:val="24"/>
          <w:rtl/>
          <w:lang w:eastAsia="fr-FR"/>
        </w:rPr>
        <w:t xml:space="preserve"> إما</w:t>
      </w:r>
      <w:r w:rsidRPr="00FE6D12">
        <w:rPr>
          <w:rFonts w:ascii="Times New Roman" w:eastAsia="Times New Roman" w:hAnsi="Times New Roman" w:cs="Times New Roman"/>
          <w:color w:val="000000"/>
          <w:szCs w:val="24"/>
          <w:rtl/>
          <w:lang w:eastAsia="fr-FR"/>
        </w:rPr>
        <w:t xml:space="preserve"> </w:t>
      </w:r>
      <w:r w:rsidRPr="00FE6D12">
        <w:rPr>
          <w:rFonts w:ascii="Times New Roman" w:eastAsia="Times New Roman" w:hAnsi="Times New Roman" w:cs="Times New Roman"/>
          <w:color w:val="000000"/>
          <w:sz w:val="24"/>
          <w:lang w:eastAsia="fr-FR"/>
        </w:rPr>
        <w:t>NF EN 12193</w:t>
      </w:r>
      <w:r w:rsidRPr="00FE6D12">
        <w:rPr>
          <w:rFonts w:ascii="Times New Roman" w:eastAsia="Times New Roman" w:hAnsi="Times New Roman" w:cs="Times New Roman"/>
          <w:color w:val="000000"/>
          <w:sz w:val="24"/>
          <w:rtl/>
          <w:lang w:eastAsia="fr-FR"/>
        </w:rPr>
        <w:t>وتشغيل برنامج الحساب والمحاكاة</w:t>
      </w:r>
    </w:p>
    <w:p w:rsidR="00FE6D12" w:rsidRPr="00FE6D12" w:rsidRDefault="00FE6D12" w:rsidP="00FE6D12">
      <w:pPr>
        <w:spacing w:after="0" w:line="240" w:lineRule="auto"/>
        <w:jc w:val="right"/>
        <w:rPr>
          <w:rFonts w:ascii="Times New Roman" w:eastAsia="Times New Roman" w:hAnsi="Times New Roman" w:cs="Times New Roman"/>
          <w:color w:val="000000"/>
          <w:sz w:val="24"/>
          <w:lang w:eastAsia="fr-FR"/>
        </w:rPr>
      </w:pPr>
      <w:r w:rsidRPr="00FE6D12">
        <w:rPr>
          <w:rFonts w:ascii="Times New Roman" w:eastAsia="Times New Roman" w:hAnsi="Times New Roman" w:cs="Times New Roman"/>
          <w:color w:val="000000"/>
          <w:sz w:val="24"/>
          <w:lang w:eastAsia="fr-FR"/>
        </w:rPr>
        <w:t>DIALUX</w:t>
      </w:r>
      <w:proofErr w:type="spellStart"/>
      <w:r w:rsidRPr="00FE6D12">
        <w:rPr>
          <w:rFonts w:ascii="Times New Roman" w:eastAsia="Times New Roman" w:hAnsi="Times New Roman" w:cs="Times New Roman"/>
          <w:color w:val="000000"/>
          <w:sz w:val="24"/>
          <w:rtl/>
          <w:lang w:eastAsia="fr-FR"/>
        </w:rPr>
        <w:t>استغالل</w:t>
      </w:r>
      <w:proofErr w:type="spellEnd"/>
      <w:r w:rsidRPr="00FE6D12">
        <w:rPr>
          <w:rFonts w:ascii="Times New Roman" w:eastAsia="Times New Roman" w:hAnsi="Times New Roman" w:cs="Times New Roman"/>
          <w:color w:val="000000"/>
          <w:sz w:val="24"/>
          <w:rtl/>
          <w:lang w:eastAsia="fr-FR"/>
        </w:rPr>
        <w:t xml:space="preserve"> قاعدة البيانات التي تقدمھا المورد من معدات </w:t>
      </w:r>
      <w:proofErr w:type="spellStart"/>
      <w:r w:rsidRPr="00FE6D12">
        <w:rPr>
          <w:rFonts w:ascii="Times New Roman" w:eastAsia="Times New Roman" w:hAnsi="Times New Roman" w:cs="Times New Roman"/>
          <w:color w:val="000000"/>
          <w:sz w:val="24"/>
          <w:rtl/>
          <w:lang w:eastAsia="fr-FR"/>
        </w:rPr>
        <w:t>اإلضاءة</w:t>
      </w:r>
      <w:proofErr w:type="spellEnd"/>
      <w:r w:rsidRPr="00FE6D12">
        <w:rPr>
          <w:rFonts w:ascii="Times New Roman" w:eastAsia="Times New Roman" w:hAnsi="Times New Roman" w:cs="Times New Roman"/>
          <w:color w:val="000000"/>
          <w:sz w:val="24"/>
          <w:rtl/>
          <w:lang w:eastAsia="fr-FR"/>
        </w:rPr>
        <w:t xml:space="preserve"> المتاحة على </w:t>
      </w:r>
      <w:proofErr w:type="spellStart"/>
      <w:r w:rsidRPr="00FE6D12">
        <w:rPr>
          <w:rFonts w:ascii="Times New Roman" w:eastAsia="Times New Roman" w:hAnsi="Times New Roman" w:cs="Times New Roman"/>
          <w:color w:val="000000"/>
          <w:sz w:val="24"/>
          <w:rtl/>
          <w:lang w:eastAsia="fr-FR"/>
        </w:rPr>
        <w:t>اإلنارة</w:t>
      </w:r>
      <w:proofErr w:type="spellEnd"/>
      <w:r w:rsidRPr="00FE6D12">
        <w:rPr>
          <w:rFonts w:ascii="Times New Roman" w:eastAsia="Times New Roman" w:hAnsi="Times New Roman" w:cs="Times New Roman"/>
          <w:color w:val="000000"/>
          <w:sz w:val="24"/>
          <w:rtl/>
          <w:lang w:eastAsia="fr-FR"/>
        </w:rPr>
        <w:t xml:space="preserve"> </w:t>
      </w:r>
      <w:proofErr w:type="spellStart"/>
      <w:r w:rsidRPr="00FE6D12">
        <w:rPr>
          <w:rFonts w:ascii="Times New Roman" w:eastAsia="Times New Roman" w:hAnsi="Times New Roman" w:cs="Times New Roman"/>
          <w:color w:val="000000"/>
          <w:sz w:val="24"/>
          <w:rtl/>
          <w:lang w:eastAsia="fr-FR"/>
        </w:rPr>
        <w:t>اإلنترنت</w:t>
      </w:r>
      <w:proofErr w:type="spellEnd"/>
      <w:r w:rsidRPr="00FE6D12">
        <w:rPr>
          <w:rFonts w:ascii="Times New Roman" w:eastAsia="Times New Roman" w:hAnsi="Times New Roman" w:cs="Times New Roman"/>
          <w:color w:val="000000"/>
          <w:sz w:val="24"/>
          <w:rtl/>
          <w:lang w:eastAsia="fr-FR"/>
        </w:rPr>
        <w:t xml:space="preserve"> التي تم اختيارھا</w:t>
      </w:r>
    </w:p>
    <w:p w:rsidR="00FE6D12" w:rsidRPr="00FE6D12" w:rsidRDefault="00FE6D12" w:rsidP="00FE6D12">
      <w:pPr>
        <w:spacing w:after="0" w:line="240" w:lineRule="auto"/>
        <w:jc w:val="right"/>
        <w:rPr>
          <w:rFonts w:ascii="Times New Roman" w:eastAsia="Times New Roman" w:hAnsi="Times New Roman" w:cs="Times New Roman"/>
          <w:color w:val="000000"/>
          <w:sz w:val="24"/>
          <w:lang w:eastAsia="fr-FR"/>
        </w:rPr>
      </w:pPr>
      <w:proofErr w:type="spellStart"/>
      <w:r w:rsidRPr="00FE6D12">
        <w:rPr>
          <w:rFonts w:ascii="Times New Roman" w:eastAsia="Times New Roman" w:hAnsi="Times New Roman" w:cs="Times New Roman"/>
          <w:color w:val="000000"/>
          <w:sz w:val="24"/>
          <w:rtl/>
          <w:lang w:eastAsia="fr-FR"/>
        </w:rPr>
        <w:t>إلضاءة</w:t>
      </w:r>
      <w:proofErr w:type="spellEnd"/>
      <w:r w:rsidRPr="00FE6D12">
        <w:rPr>
          <w:rFonts w:ascii="Times New Roman" w:eastAsia="Times New Roman" w:hAnsi="Times New Roman" w:cs="Times New Roman"/>
          <w:color w:val="000000"/>
          <w:sz w:val="24"/>
          <w:rtl/>
          <w:lang w:eastAsia="fr-FR"/>
        </w:rPr>
        <w:t xml:space="preserve"> المساحات المحددة مسبقا</w:t>
      </w:r>
      <w:r w:rsidRPr="00FE6D12">
        <w:rPr>
          <w:rFonts w:ascii="Times New Roman" w:eastAsia="Times New Roman" w:hAnsi="Times New Roman" w:cs="Times New Roman"/>
          <w:color w:val="000000"/>
          <w:sz w:val="24"/>
          <w:lang w:eastAsia="fr-FR"/>
        </w:rPr>
        <w:t>.</w:t>
      </w:r>
    </w:p>
    <w:p w:rsidR="00FE6D12" w:rsidRPr="00FE6D12" w:rsidRDefault="00FE6D12" w:rsidP="00FE6D12">
      <w:pPr>
        <w:spacing w:after="0" w:line="240" w:lineRule="auto"/>
        <w:rPr>
          <w:rFonts w:ascii="Times New Roman Gras" w:eastAsia="Times New Roman" w:hAnsi="Times New Roman Gras" w:cs="Times New Roman"/>
          <w:b/>
          <w:bCs/>
          <w:color w:val="000000"/>
          <w:sz w:val="28"/>
          <w:lang w:eastAsia="fr-FR"/>
        </w:rPr>
      </w:pPr>
      <w:r w:rsidRPr="00FE6D12">
        <w:rPr>
          <w:rFonts w:ascii="Times New Roman Gras" w:eastAsia="Times New Roman" w:hAnsi="Times New Roman Gras" w:cs="Times New Roman"/>
          <w:b/>
          <w:bCs/>
          <w:color w:val="000000"/>
          <w:sz w:val="28"/>
          <w:lang w:eastAsia="fr-FR"/>
        </w:rPr>
        <w:t>3. Abstract:</w:t>
      </w:r>
    </w:p>
    <w:p w:rsidR="004903E4" w:rsidRPr="00FE6D12" w:rsidRDefault="00FE6D12" w:rsidP="00FE6D12">
      <w:pPr>
        <w:rPr>
          <w:lang w:val="en-US"/>
        </w:rPr>
      </w:pPr>
      <w:r w:rsidRPr="00FE6D12">
        <w:rPr>
          <w:rFonts w:ascii="Times New Roman" w:eastAsia="Times New Roman" w:hAnsi="Times New Roman" w:cs="Times New Roman"/>
          <w:color w:val="000000"/>
          <w:sz w:val="24"/>
          <w:lang w:val="en-US" w:eastAsia="fr-FR"/>
        </w:rPr>
        <w:t xml:space="preserve">This work has been proposed with the aim of studying the lighting of a gym taking into account two main rooms the hall or playground and an office1. Based on the guidelines of the standard in force either NF EN 12193 and operating a calculation and simulation software DIALUX exploiting the database provided by the supplier of lighting equipment available on the internet </w:t>
      </w:r>
      <w:proofErr w:type="spellStart"/>
      <w:r w:rsidRPr="00FE6D12">
        <w:rPr>
          <w:rFonts w:ascii="Times New Roman" w:eastAsia="Times New Roman" w:hAnsi="Times New Roman" w:cs="Times New Roman"/>
          <w:color w:val="000000"/>
          <w:sz w:val="24"/>
          <w:lang w:val="en-US" w:eastAsia="fr-FR"/>
        </w:rPr>
        <w:t>luminaires</w:t>
      </w:r>
      <w:proofErr w:type="spellEnd"/>
      <w:r w:rsidRPr="00FE6D12">
        <w:rPr>
          <w:rFonts w:ascii="Times New Roman" w:eastAsia="Times New Roman" w:hAnsi="Times New Roman" w:cs="Times New Roman"/>
          <w:color w:val="000000"/>
          <w:sz w:val="24"/>
          <w:lang w:val="en-US" w:eastAsia="fr-FR"/>
        </w:rPr>
        <w:t xml:space="preserve"> chosen for the lighting of predefined spaces</w:t>
      </w:r>
    </w:p>
    <w:sectPr w:rsidR="004903E4" w:rsidRPr="00FE6D12" w:rsidSect="004903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E6D12"/>
    <w:rsid w:val="004903E4"/>
    <w:rsid w:val="00FE6D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E6D12"/>
    <w:rPr>
      <w:rFonts w:ascii="Times New Roman Gras" w:hAnsi="Times New Roman Gras" w:hint="default"/>
      <w:b/>
      <w:bCs/>
      <w:i w:val="0"/>
      <w:iCs w:val="0"/>
      <w:color w:val="000000"/>
      <w:sz w:val="28"/>
      <w:szCs w:val="28"/>
    </w:rPr>
  </w:style>
  <w:style w:type="character" w:customStyle="1" w:styleId="fontstyle21">
    <w:name w:val="fontstyle21"/>
    <w:basedOn w:val="Policepardfaut"/>
    <w:rsid w:val="00FE6D1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077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1088</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2024-12-03T13:57:00Z</dcterms:created>
  <dcterms:modified xsi:type="dcterms:W3CDTF">2024-12-03T13:58:00Z</dcterms:modified>
</cp:coreProperties>
</file>