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9288"/>
      </w:tblGrid>
      <w:tr w:rsidR="005640C2" w:rsidRPr="00412CD1" w:rsidTr="00C77FAC">
        <w:tc>
          <w:tcPr>
            <w:tcW w:w="9288" w:type="dxa"/>
            <w:shd w:val="clear" w:color="auto" w:fill="auto"/>
          </w:tcPr>
          <w:p w:rsidR="005640C2" w:rsidRPr="00412CD1" w:rsidRDefault="005640C2" w:rsidP="00C77FAC">
            <w:pPr>
              <w:spacing w:after="0" w:line="360" w:lineRule="auto"/>
              <w:jc w:val="both"/>
              <w:rPr>
                <w:rFonts w:asciiTheme="majorBidi" w:hAnsiTheme="majorBidi" w:cstheme="majorBidi"/>
                <w:b/>
                <w:sz w:val="24"/>
                <w:szCs w:val="24"/>
                <w:highlight w:val="white"/>
              </w:rPr>
            </w:pPr>
            <w:bookmarkStart w:id="0" w:name="_GoBack"/>
            <w:bookmarkEnd w:id="0"/>
            <w:r w:rsidRPr="00412CD1">
              <w:rPr>
                <w:rFonts w:asciiTheme="majorBidi" w:hAnsiTheme="majorBidi" w:cstheme="majorBidi"/>
                <w:b/>
                <w:sz w:val="24"/>
                <w:szCs w:val="24"/>
                <w:highlight w:val="white"/>
              </w:rPr>
              <w:t>Abstract</w:t>
            </w:r>
          </w:p>
        </w:tc>
      </w:tr>
      <w:tr w:rsidR="005640C2" w:rsidRPr="00147468" w:rsidTr="00C77FAC">
        <w:tc>
          <w:tcPr>
            <w:tcW w:w="9288" w:type="dxa"/>
            <w:shd w:val="clear" w:color="auto" w:fill="auto"/>
          </w:tcPr>
          <w:p w:rsidR="005640C2" w:rsidRPr="00412CD1" w:rsidRDefault="005640C2" w:rsidP="00C77FAC">
            <w:pPr>
              <w:spacing w:after="0" w:line="360" w:lineRule="auto"/>
              <w:jc w:val="both"/>
              <w:rPr>
                <w:rFonts w:asciiTheme="majorBidi" w:hAnsiTheme="majorBidi" w:cstheme="majorBidi"/>
                <w:sz w:val="24"/>
                <w:szCs w:val="24"/>
                <w:lang w:val="en-US"/>
              </w:rPr>
            </w:pPr>
            <w:r w:rsidRPr="00412CD1">
              <w:rPr>
                <w:rFonts w:asciiTheme="majorBidi" w:hAnsiTheme="majorBidi" w:cstheme="majorBidi"/>
                <w:sz w:val="24"/>
                <w:szCs w:val="24"/>
                <w:lang w:val="en-US"/>
              </w:rPr>
              <w:t xml:space="preserve">The content of this thesis focuses on studying progressive myopia in children and the methods for its control, such as </w:t>
            </w:r>
            <w:proofErr w:type="spellStart"/>
            <w:r w:rsidRPr="00412CD1">
              <w:rPr>
                <w:rFonts w:asciiTheme="majorBidi" w:hAnsiTheme="majorBidi" w:cstheme="majorBidi"/>
                <w:sz w:val="24"/>
                <w:szCs w:val="24"/>
                <w:lang w:val="en-US"/>
              </w:rPr>
              <w:t>orthokeratology</w:t>
            </w:r>
            <w:proofErr w:type="spellEnd"/>
            <w:r w:rsidRPr="00412CD1">
              <w:rPr>
                <w:rFonts w:asciiTheme="majorBidi" w:hAnsiTheme="majorBidi" w:cstheme="majorBidi"/>
                <w:sz w:val="24"/>
                <w:szCs w:val="24"/>
                <w:lang w:val="en-US"/>
              </w:rPr>
              <w:t>, atropine, and specialized lenses. Additionally, an analysis of the consequences of uncontrolled myopia is included. Through our study, we have identified several contributing factors to myopia progression, including genetic, environmental, and lifestyle factors. Early detection of myopia plays a crucial role in maintaining ocular health among young individuals with myopia. Timely detection enables the implementation of measures to control its progression. Furthermore, the age of myopia onset is associated with the rate of progression, with earlier onset often indicating a faster progression and vice versa.</w:t>
            </w:r>
          </w:p>
          <w:p w:rsidR="005640C2" w:rsidRPr="00412CD1" w:rsidRDefault="005640C2" w:rsidP="00C77FAC">
            <w:pPr>
              <w:spacing w:after="0" w:line="360" w:lineRule="auto"/>
              <w:jc w:val="both"/>
              <w:rPr>
                <w:rFonts w:asciiTheme="majorBidi" w:hAnsiTheme="majorBidi" w:cstheme="majorBidi"/>
                <w:i/>
                <w:sz w:val="24"/>
                <w:szCs w:val="24"/>
                <w:lang w:val="en-US"/>
              </w:rPr>
            </w:pPr>
            <w:proofErr w:type="spellStart"/>
            <w:r w:rsidRPr="00412CD1">
              <w:rPr>
                <w:rFonts w:asciiTheme="majorBidi" w:hAnsiTheme="majorBidi" w:cstheme="majorBidi"/>
                <w:b/>
                <w:i/>
                <w:sz w:val="24"/>
                <w:szCs w:val="24"/>
                <w:lang w:val="en-US"/>
              </w:rPr>
              <w:t>Keywords:</w:t>
            </w:r>
            <w:r w:rsidRPr="00412CD1">
              <w:rPr>
                <w:rFonts w:asciiTheme="majorBidi" w:hAnsiTheme="majorBidi" w:cstheme="majorBidi"/>
                <w:i/>
                <w:sz w:val="24"/>
                <w:szCs w:val="24"/>
                <w:lang w:val="en-US"/>
              </w:rPr>
              <w:t>Myopia</w:t>
            </w:r>
            <w:proofErr w:type="spellEnd"/>
            <w:r w:rsidRPr="00412CD1">
              <w:rPr>
                <w:rFonts w:asciiTheme="majorBidi" w:hAnsiTheme="majorBidi" w:cstheme="majorBidi"/>
                <w:i/>
                <w:sz w:val="24"/>
                <w:szCs w:val="24"/>
                <w:lang w:val="en-US"/>
              </w:rPr>
              <w:t xml:space="preserve">, Myopia control, </w:t>
            </w:r>
            <w:proofErr w:type="spellStart"/>
            <w:r w:rsidRPr="00412CD1">
              <w:rPr>
                <w:rFonts w:asciiTheme="majorBidi" w:hAnsiTheme="majorBidi" w:cstheme="majorBidi"/>
                <w:i/>
                <w:sz w:val="24"/>
                <w:szCs w:val="24"/>
                <w:lang w:val="en-US"/>
              </w:rPr>
              <w:t>Orthokeratology</w:t>
            </w:r>
            <w:proofErr w:type="spellEnd"/>
            <w:r w:rsidRPr="00412CD1">
              <w:rPr>
                <w:rFonts w:asciiTheme="majorBidi" w:hAnsiTheme="majorBidi" w:cstheme="majorBidi"/>
                <w:i/>
                <w:sz w:val="24"/>
                <w:szCs w:val="24"/>
                <w:lang w:val="en-US"/>
              </w:rPr>
              <w:t>, Atropine, Special lenses</w:t>
            </w:r>
          </w:p>
        </w:tc>
      </w:tr>
      <w:tr w:rsidR="005640C2" w:rsidRPr="00412CD1" w:rsidTr="00C77FAC">
        <w:tc>
          <w:tcPr>
            <w:tcW w:w="9288" w:type="dxa"/>
            <w:shd w:val="clear" w:color="auto" w:fill="auto"/>
          </w:tcPr>
          <w:p w:rsidR="005640C2" w:rsidRPr="00412CD1" w:rsidRDefault="005640C2" w:rsidP="00C77FAC">
            <w:pPr>
              <w:spacing w:before="240" w:after="0" w:line="360" w:lineRule="auto"/>
              <w:rPr>
                <w:rFonts w:asciiTheme="majorBidi" w:hAnsiTheme="majorBidi" w:cstheme="majorBidi"/>
                <w:b/>
                <w:sz w:val="24"/>
                <w:szCs w:val="24"/>
              </w:rPr>
            </w:pPr>
            <w:r w:rsidRPr="00412CD1">
              <w:rPr>
                <w:rFonts w:asciiTheme="majorBidi" w:hAnsiTheme="majorBidi" w:cstheme="majorBidi"/>
                <w:b/>
                <w:sz w:val="24"/>
                <w:szCs w:val="24"/>
              </w:rPr>
              <w:t>Résumé</w:t>
            </w:r>
          </w:p>
        </w:tc>
      </w:tr>
      <w:tr w:rsidR="005640C2" w:rsidRPr="00412CD1" w:rsidTr="00C77FAC">
        <w:tc>
          <w:tcPr>
            <w:tcW w:w="9288" w:type="dxa"/>
            <w:shd w:val="clear" w:color="auto" w:fill="auto"/>
          </w:tcPr>
          <w:p w:rsidR="005640C2" w:rsidRPr="00412CD1" w:rsidRDefault="005640C2" w:rsidP="00C77FAC">
            <w:pPr>
              <w:spacing w:after="0" w:line="360" w:lineRule="auto"/>
              <w:jc w:val="both"/>
              <w:rPr>
                <w:rFonts w:asciiTheme="majorBidi" w:hAnsiTheme="majorBidi" w:cstheme="majorBidi"/>
                <w:sz w:val="24"/>
                <w:szCs w:val="24"/>
              </w:rPr>
            </w:pPr>
            <w:r w:rsidRPr="00412CD1">
              <w:rPr>
                <w:rFonts w:asciiTheme="majorBidi" w:hAnsiTheme="majorBidi" w:cstheme="majorBidi"/>
                <w:sz w:val="24"/>
                <w:szCs w:val="24"/>
              </w:rPr>
              <w:t>Le contenu de ce mémoire porte sur une étude de la myopie évolutive chez les enfants et les méthodes de contrôle, telles que l'</w:t>
            </w:r>
            <w:proofErr w:type="spellStart"/>
            <w:r w:rsidRPr="00412CD1">
              <w:rPr>
                <w:rFonts w:asciiTheme="majorBidi" w:hAnsiTheme="majorBidi" w:cstheme="majorBidi"/>
                <w:sz w:val="24"/>
                <w:szCs w:val="24"/>
              </w:rPr>
              <w:t>orthokératologie</w:t>
            </w:r>
            <w:proofErr w:type="spellEnd"/>
            <w:r w:rsidRPr="00412CD1">
              <w:rPr>
                <w:rFonts w:asciiTheme="majorBidi" w:hAnsiTheme="majorBidi" w:cstheme="majorBidi"/>
                <w:sz w:val="24"/>
                <w:szCs w:val="24"/>
              </w:rPr>
              <w:t xml:space="preserve">, l'atropine et les verres spéciaux. Il inclut également une analyse des conséquences d'une myopie non contrôlée. À la conclusion de notre étude, nous avons pu identifier plusieurs facteurs contribuant à la progression de la myopie, notamment des facteurs génétiques, environnementaux et liés au mode de vie. La détection précoce de la myopie joue un rôle crucial dans la santé oculaire des jeunes individus atteints de myopie. Plus la </w:t>
            </w:r>
            <w:proofErr w:type="gramStart"/>
            <w:r w:rsidRPr="00412CD1">
              <w:rPr>
                <w:rFonts w:asciiTheme="majorBidi" w:hAnsiTheme="majorBidi" w:cstheme="majorBidi"/>
                <w:sz w:val="24"/>
                <w:szCs w:val="24"/>
              </w:rPr>
              <w:t>myopie est</w:t>
            </w:r>
            <w:proofErr w:type="gramEnd"/>
            <w:r w:rsidRPr="00412CD1">
              <w:rPr>
                <w:rFonts w:asciiTheme="majorBidi" w:hAnsiTheme="majorBidi" w:cstheme="majorBidi"/>
                <w:sz w:val="24"/>
                <w:szCs w:val="24"/>
              </w:rPr>
              <w:t xml:space="preserve"> détectée tôt, plus rapidement des mesures peuvent être prises pour contrôler sa progression. De plus, l'âge auquel la myopie apparaît est associé au rythme de sa progression, avec un début précoce entraînant généralement une progression plus rapide, et vice versa.</w:t>
            </w:r>
          </w:p>
          <w:p w:rsidR="005640C2" w:rsidRPr="00412CD1" w:rsidRDefault="005640C2" w:rsidP="00C77FAC">
            <w:pPr>
              <w:spacing w:after="0" w:line="360" w:lineRule="auto"/>
              <w:jc w:val="both"/>
              <w:rPr>
                <w:rFonts w:asciiTheme="majorBidi" w:hAnsiTheme="majorBidi" w:cstheme="majorBidi"/>
                <w:i/>
                <w:sz w:val="24"/>
                <w:szCs w:val="24"/>
              </w:rPr>
            </w:pPr>
            <w:r w:rsidRPr="00412CD1">
              <w:rPr>
                <w:rFonts w:asciiTheme="majorBidi" w:hAnsiTheme="majorBidi" w:cstheme="majorBidi"/>
                <w:b/>
                <w:i/>
                <w:sz w:val="24"/>
                <w:szCs w:val="24"/>
              </w:rPr>
              <w:t xml:space="preserve">Mots-clés </w:t>
            </w:r>
            <w:proofErr w:type="gramStart"/>
            <w:r w:rsidRPr="00412CD1">
              <w:rPr>
                <w:rFonts w:asciiTheme="majorBidi" w:hAnsiTheme="majorBidi" w:cstheme="majorBidi"/>
                <w:b/>
                <w:i/>
                <w:sz w:val="24"/>
                <w:szCs w:val="24"/>
              </w:rPr>
              <w:t>:</w:t>
            </w:r>
            <w:r w:rsidRPr="00412CD1">
              <w:rPr>
                <w:rFonts w:asciiTheme="majorBidi" w:hAnsiTheme="majorBidi" w:cstheme="majorBidi"/>
                <w:i/>
                <w:sz w:val="24"/>
                <w:szCs w:val="24"/>
              </w:rPr>
              <w:t>Myopie</w:t>
            </w:r>
            <w:proofErr w:type="gramEnd"/>
            <w:r w:rsidRPr="00412CD1">
              <w:rPr>
                <w:rFonts w:asciiTheme="majorBidi" w:hAnsiTheme="majorBidi" w:cstheme="majorBidi"/>
                <w:i/>
                <w:sz w:val="24"/>
                <w:szCs w:val="24"/>
              </w:rPr>
              <w:t xml:space="preserve">, Freinage de la myopie, </w:t>
            </w:r>
            <w:proofErr w:type="spellStart"/>
            <w:r w:rsidRPr="00412CD1">
              <w:rPr>
                <w:rFonts w:asciiTheme="majorBidi" w:hAnsiTheme="majorBidi" w:cstheme="majorBidi"/>
                <w:i/>
                <w:sz w:val="24"/>
                <w:szCs w:val="24"/>
              </w:rPr>
              <w:t>Orthokératologie</w:t>
            </w:r>
            <w:proofErr w:type="spellEnd"/>
            <w:r w:rsidRPr="00412CD1">
              <w:rPr>
                <w:rFonts w:asciiTheme="majorBidi" w:hAnsiTheme="majorBidi" w:cstheme="majorBidi"/>
                <w:i/>
                <w:sz w:val="24"/>
                <w:szCs w:val="24"/>
              </w:rPr>
              <w:t>, Atropine, Verres spéciaux</w:t>
            </w:r>
          </w:p>
        </w:tc>
      </w:tr>
      <w:tr w:rsidR="005640C2" w:rsidRPr="00412CD1" w:rsidTr="00C77FAC">
        <w:tc>
          <w:tcPr>
            <w:tcW w:w="9288" w:type="dxa"/>
            <w:shd w:val="clear" w:color="auto" w:fill="auto"/>
          </w:tcPr>
          <w:p w:rsidR="005640C2" w:rsidRPr="00412CD1" w:rsidRDefault="005640C2" w:rsidP="00C77FAC">
            <w:pPr>
              <w:bidi/>
              <w:spacing w:before="240" w:after="0" w:line="360" w:lineRule="auto"/>
              <w:rPr>
                <w:rFonts w:asciiTheme="majorBidi" w:hAnsiTheme="majorBidi" w:cstheme="majorBidi"/>
                <w:b/>
                <w:sz w:val="24"/>
                <w:szCs w:val="24"/>
              </w:rPr>
            </w:pPr>
            <w:r w:rsidRPr="00412CD1">
              <w:rPr>
                <w:rFonts w:asciiTheme="majorBidi" w:hAnsiTheme="majorBidi" w:cstheme="majorBidi"/>
                <w:b/>
                <w:sz w:val="24"/>
                <w:szCs w:val="24"/>
                <w:rtl/>
              </w:rPr>
              <w:t>ملخص</w:t>
            </w:r>
          </w:p>
        </w:tc>
      </w:tr>
      <w:tr w:rsidR="005640C2" w:rsidRPr="00412CD1" w:rsidTr="00C77FAC">
        <w:tc>
          <w:tcPr>
            <w:tcW w:w="9288" w:type="dxa"/>
            <w:shd w:val="clear" w:color="auto" w:fill="auto"/>
          </w:tcPr>
          <w:p w:rsidR="005640C2" w:rsidRPr="00412CD1" w:rsidRDefault="005640C2" w:rsidP="00C77FAC">
            <w:pPr>
              <w:bidi/>
              <w:spacing w:before="120" w:after="0" w:line="360" w:lineRule="auto"/>
              <w:jc w:val="both"/>
              <w:rPr>
                <w:rFonts w:asciiTheme="majorBidi" w:hAnsiTheme="majorBidi" w:cstheme="majorBidi"/>
                <w:sz w:val="24"/>
                <w:szCs w:val="24"/>
              </w:rPr>
            </w:pPr>
            <w:r w:rsidRPr="00412CD1">
              <w:rPr>
                <w:rFonts w:asciiTheme="majorBidi" w:hAnsiTheme="majorBidi" w:cstheme="majorBidi"/>
                <w:sz w:val="24"/>
                <w:szCs w:val="24"/>
                <w:rtl/>
              </w:rPr>
              <w:t xml:space="preserve">يتمثل محتوى هذه المذكرة في دراسة قصر النظر التدريجي لدى الأطفال وطرق السيطرة عليه، مثل تقنية </w:t>
            </w:r>
            <w:proofErr w:type="spellStart"/>
            <w:r w:rsidRPr="00412CD1">
              <w:rPr>
                <w:rFonts w:asciiTheme="majorBidi" w:hAnsiTheme="majorBidi" w:cstheme="majorBidi"/>
                <w:sz w:val="24"/>
                <w:szCs w:val="24"/>
                <w:rtl/>
              </w:rPr>
              <w:t>الأورثوكيراطولوجي</w:t>
            </w:r>
            <w:proofErr w:type="spellEnd"/>
            <w:r w:rsidRPr="00412CD1">
              <w:rPr>
                <w:rFonts w:asciiTheme="majorBidi" w:hAnsiTheme="majorBidi" w:cstheme="majorBidi"/>
                <w:sz w:val="24"/>
                <w:szCs w:val="24"/>
                <w:rtl/>
              </w:rPr>
              <w:t xml:space="preserve">، الاستخدام الطبي </w:t>
            </w:r>
            <w:proofErr w:type="spellStart"/>
            <w:r w:rsidRPr="00412CD1">
              <w:rPr>
                <w:rFonts w:asciiTheme="majorBidi" w:hAnsiTheme="majorBidi" w:cstheme="majorBidi"/>
                <w:sz w:val="24"/>
                <w:szCs w:val="24"/>
                <w:rtl/>
              </w:rPr>
              <w:t>للأتروبين</w:t>
            </w:r>
            <w:proofErr w:type="spellEnd"/>
            <w:r w:rsidRPr="00412CD1">
              <w:rPr>
                <w:rFonts w:asciiTheme="majorBidi" w:hAnsiTheme="majorBidi" w:cstheme="majorBidi"/>
                <w:sz w:val="24"/>
                <w:szCs w:val="24"/>
                <w:rtl/>
              </w:rPr>
              <w:t>، واستخدام النظارات الخاصة. كما تتضمن المذكرة تحليلاً لعواقب قصر النظر الغير منضبط. في نهاية الدراسة، تمكنا من تحديد العديد من العوامل التي تسهم في تطور قصر النظر، بما في ذلك العوامل الوراثية والبيئية ونمط الحياة. يلعب الكشف المبكر عن قصر النظر دوراً حاسماً في صحة العين لدى الأفراد الشباب المصابين بقصر النظر. كلما تم اكتشاف قصر النظر في وقت مبكر، كانت التدابير اللازمة المتخذة في السيطرة عليه انجع. وعلاوة على ذلك، فإن سن ظهور قصر النظر يرتبط بسرعة تطوره، حيث يكون بداية الإصابة في سن مبكرة عادة ما تؤدي إلى تطور أسرع، والعكس صحيح.</w:t>
            </w:r>
          </w:p>
          <w:p w:rsidR="005640C2" w:rsidRPr="00412CD1" w:rsidRDefault="005640C2" w:rsidP="00C77FAC">
            <w:pPr>
              <w:bidi/>
              <w:spacing w:after="0" w:line="360" w:lineRule="auto"/>
              <w:jc w:val="both"/>
              <w:rPr>
                <w:rFonts w:asciiTheme="majorBidi" w:hAnsiTheme="majorBidi" w:cstheme="majorBidi"/>
                <w:iCs/>
                <w:sz w:val="24"/>
                <w:szCs w:val="24"/>
              </w:rPr>
            </w:pPr>
            <w:r w:rsidRPr="00412CD1">
              <w:rPr>
                <w:rFonts w:asciiTheme="majorBidi" w:hAnsiTheme="majorBidi" w:cstheme="majorBidi"/>
                <w:bCs/>
                <w:iCs/>
                <w:sz w:val="24"/>
                <w:szCs w:val="24"/>
                <w:rtl/>
              </w:rPr>
              <w:t xml:space="preserve">الكلمات </w:t>
            </w:r>
            <w:proofErr w:type="spellStart"/>
            <w:r w:rsidRPr="00412CD1">
              <w:rPr>
                <w:rFonts w:asciiTheme="majorBidi" w:hAnsiTheme="majorBidi" w:cstheme="majorBidi"/>
                <w:bCs/>
                <w:iCs/>
                <w:sz w:val="24"/>
                <w:szCs w:val="24"/>
                <w:rtl/>
              </w:rPr>
              <w:t>المفتاحية:</w:t>
            </w:r>
            <w:r w:rsidRPr="00412CD1">
              <w:rPr>
                <w:rFonts w:asciiTheme="majorBidi" w:hAnsiTheme="majorBidi" w:cstheme="majorBidi"/>
                <w:iCs/>
                <w:sz w:val="24"/>
                <w:szCs w:val="24"/>
                <w:rtl/>
              </w:rPr>
              <w:t>قصر</w:t>
            </w:r>
            <w:proofErr w:type="spellEnd"/>
            <w:r w:rsidRPr="00412CD1">
              <w:rPr>
                <w:rFonts w:asciiTheme="majorBidi" w:hAnsiTheme="majorBidi" w:cstheme="majorBidi"/>
                <w:iCs/>
                <w:sz w:val="24"/>
                <w:szCs w:val="24"/>
                <w:rtl/>
              </w:rPr>
              <w:t xml:space="preserve"> النظر، السيطرة على قصر النظر ، </w:t>
            </w:r>
            <w:proofErr w:type="spellStart"/>
            <w:r w:rsidRPr="00412CD1">
              <w:rPr>
                <w:rFonts w:asciiTheme="majorBidi" w:hAnsiTheme="majorBidi" w:cstheme="majorBidi"/>
                <w:iCs/>
                <w:sz w:val="24"/>
                <w:szCs w:val="24"/>
                <w:rtl/>
              </w:rPr>
              <w:t>اورثوكيراطولوجي</w:t>
            </w:r>
            <w:proofErr w:type="spellEnd"/>
            <w:r w:rsidRPr="00412CD1">
              <w:rPr>
                <w:rFonts w:asciiTheme="majorBidi" w:hAnsiTheme="majorBidi" w:cstheme="majorBidi"/>
                <w:iCs/>
                <w:sz w:val="24"/>
                <w:szCs w:val="24"/>
                <w:rtl/>
              </w:rPr>
              <w:t xml:space="preserve">، </w:t>
            </w:r>
            <w:proofErr w:type="spellStart"/>
            <w:r w:rsidRPr="00412CD1">
              <w:rPr>
                <w:rFonts w:asciiTheme="majorBidi" w:hAnsiTheme="majorBidi" w:cstheme="majorBidi"/>
                <w:iCs/>
                <w:sz w:val="24"/>
                <w:szCs w:val="24"/>
                <w:rtl/>
              </w:rPr>
              <w:t>اتروبين</w:t>
            </w:r>
            <w:proofErr w:type="spellEnd"/>
            <w:r w:rsidRPr="00412CD1">
              <w:rPr>
                <w:rFonts w:asciiTheme="majorBidi" w:hAnsiTheme="majorBidi" w:cstheme="majorBidi"/>
                <w:iCs/>
                <w:sz w:val="24"/>
                <w:szCs w:val="24"/>
                <w:rtl/>
              </w:rPr>
              <w:t>، زجاج خاص</w:t>
            </w:r>
          </w:p>
        </w:tc>
      </w:tr>
    </w:tbl>
    <w:p w:rsidR="00CF0FAE" w:rsidRPr="005640C2" w:rsidRDefault="00CF0FAE" w:rsidP="005640C2">
      <w:pPr>
        <w:rPr>
          <w:sz w:val="2"/>
          <w:szCs w:val="2"/>
        </w:rPr>
      </w:pPr>
    </w:p>
    <w:sectPr w:rsidR="00CF0FAE" w:rsidRPr="005640C2" w:rsidSect="00434C1D">
      <w:headerReference w:type="default" r:id="rId6"/>
      <w:footerReference w:type="default" r:id="rId7"/>
      <w:pgSz w:w="11906" w:h="16838"/>
      <w:pgMar w:top="1417" w:right="1417" w:bottom="1417" w:left="1417" w:header="708" w:footer="432" w:gutter="0"/>
      <w:pgNumType w:start="4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042" w:rsidRDefault="00C43042">
      <w:pPr>
        <w:spacing w:after="0" w:line="240" w:lineRule="auto"/>
      </w:pPr>
      <w:r>
        <w:separator/>
      </w:r>
    </w:p>
  </w:endnote>
  <w:endnote w:type="continuationSeparator" w:id="0">
    <w:p w:rsidR="00C43042" w:rsidRDefault="00C43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DF7" w:rsidRDefault="00C43042">
    <w:pPr>
      <w:pBdr>
        <w:top w:val="nil"/>
        <w:left w:val="nil"/>
        <w:bottom w:val="nil"/>
        <w:right w:val="nil"/>
        <w:between w:val="nil"/>
      </w:pBdr>
      <w:tabs>
        <w:tab w:val="center" w:pos="4536"/>
        <w:tab w:val="right" w:pos="9072"/>
      </w:tabs>
      <w:spacing w:after="0" w:line="240" w:lineRule="auto"/>
      <w:jc w:val="center"/>
      <w:rPr>
        <w:b/>
        <w:color w:val="000000"/>
        <w:sz w:val="28"/>
        <w:szCs w:val="28"/>
      </w:rPr>
    </w:pPr>
  </w:p>
  <w:p w:rsidR="00E85DF7" w:rsidRDefault="00C43042">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042" w:rsidRDefault="00C43042">
      <w:pPr>
        <w:spacing w:after="0" w:line="240" w:lineRule="auto"/>
      </w:pPr>
      <w:r>
        <w:separator/>
      </w:r>
    </w:p>
  </w:footnote>
  <w:footnote w:type="continuationSeparator" w:id="0">
    <w:p w:rsidR="00C43042" w:rsidRDefault="00C430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DF7" w:rsidRDefault="00C43042">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0C2"/>
    <w:rsid w:val="005640C2"/>
    <w:rsid w:val="00A90901"/>
    <w:rsid w:val="00C43042"/>
    <w:rsid w:val="00CF0FA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9990E0-704D-48AF-BFAE-31DC94228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640C2"/>
    <w:rPr>
      <w:rFonts w:ascii="Calibri" w:eastAsia="Calibri" w:hAnsi="Calibri" w:cs="Calibri"/>
      <w:lang w:val="fr-B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2161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 documants</dc:creator>
  <cp:lastModifiedBy>DELL</cp:lastModifiedBy>
  <cp:revision>2</cp:revision>
  <dcterms:created xsi:type="dcterms:W3CDTF">2023-07-09T10:42:00Z</dcterms:created>
  <dcterms:modified xsi:type="dcterms:W3CDTF">2023-07-09T10:42:00Z</dcterms:modified>
</cp:coreProperties>
</file>