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1B" w:rsidRPr="00721E1B" w:rsidRDefault="00721E1B" w:rsidP="00721E1B">
      <w:pPr>
        <w:rPr>
          <w:rFonts w:asciiTheme="majorBidi" w:hAnsiTheme="majorBidi" w:cstheme="majorBidi"/>
          <w:b/>
          <w:bCs/>
          <w:rtl/>
        </w:rPr>
      </w:pPr>
      <w:proofErr w:type="gramStart"/>
      <w:r w:rsidRPr="00721E1B">
        <w:rPr>
          <w:rFonts w:asciiTheme="majorBidi" w:hAnsiTheme="majorBidi" w:cstheme="majorBidi"/>
          <w:b/>
          <w:bCs/>
          <w:rtl/>
        </w:rPr>
        <w:t>ملخص</w:t>
      </w:r>
      <w:proofErr w:type="gramEnd"/>
    </w:p>
    <w:p w:rsidR="00721E1B" w:rsidRPr="00721E1B" w:rsidRDefault="00721E1B" w:rsidP="00721E1B">
      <w:pPr>
        <w:bidi/>
        <w:spacing w:line="360" w:lineRule="auto"/>
        <w:rPr>
          <w:rFonts w:asciiTheme="majorBidi" w:hAnsiTheme="majorBidi" w:cstheme="majorBidi"/>
          <w:rtl/>
        </w:rPr>
      </w:pPr>
      <w:r w:rsidRPr="00721E1B">
        <w:rPr>
          <w:rFonts w:hint="cs"/>
          <w:rtl/>
        </w:rPr>
        <w:t xml:space="preserve">قاطع الدائرة التفاضلية هو جهاز حماية ذو أهمية كبيرة من خلال الوقت وكأخصائيين في المقاييس حاولنا الاقتراب من </w:t>
      </w:r>
      <w:r w:rsidRPr="00721E1B">
        <w:rPr>
          <w:rFonts w:asciiTheme="majorBidi" w:hAnsiTheme="majorBidi" w:cstheme="majorBidi"/>
          <w:rtl/>
        </w:rPr>
        <w:t xml:space="preserve">الموضوع </w:t>
      </w:r>
      <w:r w:rsidRPr="00721E1B">
        <w:rPr>
          <w:rFonts w:asciiTheme="majorBidi" w:hAnsiTheme="majorBidi" w:cstheme="majorBidi" w:hint="cs"/>
          <w:rtl/>
        </w:rPr>
        <w:t>من خلال</w:t>
      </w:r>
      <w:r w:rsidRPr="00721E1B">
        <w:rPr>
          <w:rFonts w:asciiTheme="majorBidi" w:hAnsiTheme="majorBidi" w:cstheme="majorBidi"/>
          <w:rtl/>
        </w:rPr>
        <w:t xml:space="preserve"> </w:t>
      </w:r>
      <w:proofErr w:type="spellStart"/>
      <w:r w:rsidRPr="00721E1B">
        <w:rPr>
          <w:rFonts w:asciiTheme="majorBidi" w:hAnsiTheme="majorBidi" w:cstheme="majorBidi"/>
          <w:rtl/>
        </w:rPr>
        <w:t>ابراز</w:t>
      </w:r>
      <w:proofErr w:type="spellEnd"/>
      <w:r w:rsidRPr="00721E1B">
        <w:rPr>
          <w:rFonts w:asciiTheme="majorBidi" w:hAnsiTheme="majorBidi" w:cstheme="majorBidi"/>
          <w:rtl/>
        </w:rPr>
        <w:t xml:space="preserve"> أهميته </w:t>
      </w:r>
      <w:r w:rsidRPr="00721E1B">
        <w:rPr>
          <w:rFonts w:asciiTheme="majorBidi" w:hAnsiTheme="majorBidi" w:cstheme="majorBidi" w:hint="cs"/>
          <w:rtl/>
        </w:rPr>
        <w:t>وكفاءته والأهم من</w:t>
      </w:r>
      <w:r w:rsidRPr="00721E1B">
        <w:rPr>
          <w:rFonts w:asciiTheme="majorBidi" w:hAnsiTheme="majorBidi" w:cstheme="majorBidi"/>
          <w:rtl/>
        </w:rPr>
        <w:t xml:space="preserve"> ذلك الدقة </w:t>
      </w:r>
      <w:r w:rsidRPr="00721E1B">
        <w:rPr>
          <w:rFonts w:asciiTheme="majorBidi" w:hAnsiTheme="majorBidi" w:cstheme="majorBidi" w:hint="cs"/>
          <w:rtl/>
        </w:rPr>
        <w:t xml:space="preserve">وهامش </w:t>
      </w:r>
      <w:proofErr w:type="spellStart"/>
      <w:r w:rsidRPr="00721E1B">
        <w:rPr>
          <w:rFonts w:asciiTheme="majorBidi" w:hAnsiTheme="majorBidi" w:cstheme="majorBidi" w:hint="cs"/>
          <w:rtl/>
        </w:rPr>
        <w:t>الخطأللكشف</w:t>
      </w:r>
      <w:proofErr w:type="spellEnd"/>
      <w:r w:rsidRPr="00721E1B">
        <w:rPr>
          <w:rFonts w:asciiTheme="majorBidi" w:hAnsiTheme="majorBidi" w:cstheme="majorBidi" w:hint="cs"/>
          <w:rtl/>
        </w:rPr>
        <w:t xml:space="preserve"> عن</w:t>
      </w:r>
      <w:r w:rsidRPr="00721E1B">
        <w:rPr>
          <w:rFonts w:asciiTheme="majorBidi" w:hAnsiTheme="majorBidi" w:cstheme="majorBidi"/>
          <w:rtl/>
        </w:rPr>
        <w:t xml:space="preserve"> عطل كهربائي واحد </w:t>
      </w:r>
      <w:proofErr w:type="spellStart"/>
      <w:r w:rsidRPr="00721E1B">
        <w:rPr>
          <w:rFonts w:asciiTheme="majorBidi" w:hAnsiTheme="majorBidi" w:cstheme="majorBidi"/>
          <w:rtl/>
        </w:rPr>
        <w:t>او</w:t>
      </w:r>
      <w:proofErr w:type="spellEnd"/>
      <w:r w:rsidRPr="00721E1B">
        <w:rPr>
          <w:rFonts w:asciiTheme="majorBidi" w:hAnsiTheme="majorBidi" w:cstheme="majorBidi"/>
          <w:rtl/>
        </w:rPr>
        <w:t xml:space="preserve"> </w:t>
      </w:r>
      <w:r w:rsidRPr="00721E1B">
        <w:rPr>
          <w:rFonts w:asciiTheme="majorBidi" w:hAnsiTheme="majorBidi" w:cstheme="majorBidi" w:hint="cs"/>
          <w:rtl/>
        </w:rPr>
        <w:t>أكثر</w:t>
      </w:r>
      <w:r w:rsidRPr="00721E1B">
        <w:rPr>
          <w:rFonts w:asciiTheme="majorBidi" w:hAnsiTheme="majorBidi" w:cstheme="majorBidi"/>
          <w:rtl/>
        </w:rPr>
        <w:t xml:space="preserve"> ترتبط فعالية نوع جهاز الحماية ارتباطا </w:t>
      </w:r>
      <w:r w:rsidRPr="00721E1B">
        <w:rPr>
          <w:rFonts w:asciiTheme="majorBidi" w:hAnsiTheme="majorBidi" w:cstheme="majorBidi" w:hint="cs"/>
          <w:rtl/>
        </w:rPr>
        <w:t>مباشرا بشروط</w:t>
      </w:r>
      <w:r w:rsidRPr="00721E1B">
        <w:rPr>
          <w:rFonts w:asciiTheme="majorBidi" w:hAnsiTheme="majorBidi" w:cstheme="majorBidi"/>
          <w:rtl/>
        </w:rPr>
        <w:t xml:space="preserve"> التنفيذ الأخرى بما في ذلك الأنظمة المحايدة حيث </w:t>
      </w:r>
      <w:proofErr w:type="spellStart"/>
      <w:r w:rsidRPr="00721E1B">
        <w:rPr>
          <w:rFonts w:asciiTheme="majorBidi" w:hAnsiTheme="majorBidi" w:cstheme="majorBidi"/>
          <w:rtl/>
        </w:rPr>
        <w:t>اوضحنا</w:t>
      </w:r>
      <w:proofErr w:type="spellEnd"/>
      <w:r w:rsidRPr="00721E1B">
        <w:rPr>
          <w:rFonts w:asciiTheme="majorBidi" w:hAnsiTheme="majorBidi" w:cstheme="majorBidi"/>
          <w:rtl/>
        </w:rPr>
        <w:t xml:space="preserve"> أنواعها </w:t>
      </w:r>
      <w:r w:rsidRPr="00721E1B">
        <w:rPr>
          <w:rFonts w:asciiTheme="majorBidi" w:hAnsiTheme="majorBidi" w:cstheme="majorBidi" w:hint="cs"/>
          <w:rtl/>
        </w:rPr>
        <w:t xml:space="preserve">واهتماماتها وتطبيقاتها </w:t>
      </w:r>
      <w:r w:rsidRPr="00721E1B">
        <w:rPr>
          <w:rFonts w:asciiTheme="majorBidi" w:hAnsiTheme="majorBidi" w:cstheme="majorBidi"/>
          <w:rtl/>
        </w:rPr>
        <w:t xml:space="preserve">في اتصال مباشر بجهاز الحماية التفاضلية </w:t>
      </w:r>
      <w:r w:rsidRPr="00721E1B">
        <w:rPr>
          <w:rFonts w:asciiTheme="majorBidi" w:hAnsiTheme="majorBidi" w:cstheme="majorBidi" w:hint="cs"/>
          <w:rtl/>
        </w:rPr>
        <w:t xml:space="preserve">وبشكل </w:t>
      </w:r>
      <w:proofErr w:type="spellStart"/>
      <w:r w:rsidRPr="00721E1B">
        <w:rPr>
          <w:rFonts w:asciiTheme="majorBidi" w:hAnsiTheme="majorBidi" w:cstheme="majorBidi"/>
          <w:rtl/>
        </w:rPr>
        <w:t>ادق</w:t>
      </w:r>
      <w:proofErr w:type="spellEnd"/>
      <w:r w:rsidRPr="00721E1B">
        <w:rPr>
          <w:rFonts w:asciiTheme="majorBidi" w:hAnsiTheme="majorBidi" w:cstheme="majorBidi"/>
          <w:rtl/>
        </w:rPr>
        <w:t xml:space="preserve"> </w:t>
      </w:r>
      <w:r w:rsidRPr="00721E1B">
        <w:rPr>
          <w:rFonts w:asciiTheme="majorBidi" w:hAnsiTheme="majorBidi" w:cstheme="majorBidi" w:hint="cs"/>
          <w:rtl/>
        </w:rPr>
        <w:t>الحساسية التي</w:t>
      </w:r>
      <w:r w:rsidRPr="00721E1B">
        <w:rPr>
          <w:rFonts w:asciiTheme="majorBidi" w:hAnsiTheme="majorBidi" w:cstheme="majorBidi"/>
          <w:rtl/>
        </w:rPr>
        <w:t xml:space="preserve"> تعتمد عليها بشكل </w:t>
      </w:r>
      <w:r w:rsidRPr="00721E1B">
        <w:rPr>
          <w:rFonts w:asciiTheme="majorBidi" w:hAnsiTheme="majorBidi" w:cstheme="majorBidi" w:hint="cs"/>
          <w:rtl/>
        </w:rPr>
        <w:t>مباشر.</w:t>
      </w:r>
      <w:r w:rsidRPr="00721E1B">
        <w:rPr>
          <w:rFonts w:asciiTheme="majorBidi" w:hAnsiTheme="majorBidi" w:cstheme="majorBidi"/>
          <w:rtl/>
        </w:rPr>
        <w:t xml:space="preserve"> يتطرق هذا العمل أيضا </w:t>
      </w:r>
      <w:proofErr w:type="spellStart"/>
      <w:r w:rsidRPr="00721E1B">
        <w:rPr>
          <w:rFonts w:asciiTheme="majorBidi" w:hAnsiTheme="majorBidi" w:cstheme="majorBidi"/>
          <w:rtl/>
        </w:rPr>
        <w:t>الى</w:t>
      </w:r>
      <w:proofErr w:type="spellEnd"/>
      <w:r w:rsidRPr="00721E1B">
        <w:rPr>
          <w:rFonts w:asciiTheme="majorBidi" w:hAnsiTheme="majorBidi" w:cstheme="majorBidi"/>
          <w:rtl/>
        </w:rPr>
        <w:t xml:space="preserve"> عنصر أساسي في أجهزة الحماية التفاضلية وهو التميي</w:t>
      </w:r>
      <w:r w:rsidRPr="00721E1B">
        <w:rPr>
          <w:rFonts w:asciiTheme="majorBidi" w:hAnsiTheme="majorBidi" w:cstheme="majorBidi" w:hint="cs"/>
          <w:rtl/>
        </w:rPr>
        <w:t>ز.</w:t>
      </w:r>
    </w:p>
    <w:p w:rsidR="00721E1B" w:rsidRPr="00721E1B" w:rsidRDefault="00721E1B" w:rsidP="00721E1B">
      <w:pPr>
        <w:bidi/>
        <w:spacing w:line="360" w:lineRule="auto"/>
        <w:rPr>
          <w:rFonts w:asciiTheme="majorBidi" w:hAnsiTheme="majorBidi" w:cstheme="majorBidi"/>
          <w:rtl/>
          <w:lang w:bidi="ar-DZ"/>
        </w:rPr>
      </w:pPr>
      <w:r w:rsidRPr="00721E1B">
        <w:rPr>
          <w:rFonts w:asciiTheme="majorBidi" w:hAnsiTheme="majorBidi" w:cstheme="majorBidi"/>
          <w:rtl/>
        </w:rPr>
        <w:t xml:space="preserve"> توج عملنا بسلسلة من الاختبارات على عينات قواطع الدائرة التفاضلية في مختبر</w:t>
      </w:r>
      <w:r w:rsidRPr="00721E1B">
        <w:rPr>
          <w:rFonts w:asciiTheme="majorBidi" w:hAnsiTheme="majorBidi" w:cstheme="majorBidi"/>
        </w:rPr>
        <w:t>AMC ELEULMA.</w:t>
      </w:r>
      <w:proofErr w:type="gramStart"/>
      <w:r w:rsidRPr="00721E1B">
        <w:rPr>
          <w:rFonts w:asciiTheme="majorBidi" w:hAnsiTheme="majorBidi" w:cstheme="majorBidi"/>
          <w:rtl/>
        </w:rPr>
        <w:t>وفقا</w:t>
      </w:r>
      <w:proofErr w:type="gramEnd"/>
      <w:r w:rsidRPr="00721E1B">
        <w:rPr>
          <w:rFonts w:asciiTheme="majorBidi" w:hAnsiTheme="majorBidi" w:cstheme="majorBidi"/>
          <w:rtl/>
        </w:rPr>
        <w:t xml:space="preserve"> لمتطلبات معيار</w:t>
      </w:r>
      <w:r w:rsidRPr="00721E1B">
        <w:rPr>
          <w:rFonts w:asciiTheme="majorBidi" w:hAnsiTheme="majorBidi" w:cstheme="majorBidi"/>
        </w:rPr>
        <w:t>IEC61009-2012</w:t>
      </w:r>
    </w:p>
    <w:p w:rsidR="00721E1B" w:rsidRPr="00721E1B" w:rsidRDefault="00721E1B" w:rsidP="00721E1B">
      <w:pPr>
        <w:spacing w:line="360" w:lineRule="auto"/>
        <w:jc w:val="both"/>
        <w:rPr>
          <w:rFonts w:asciiTheme="majorBidi" w:hAnsiTheme="majorBidi" w:cstheme="majorBidi"/>
          <w:b/>
          <w:bCs/>
          <w:rtl/>
          <w:lang w:bidi="ar-DZ"/>
        </w:rPr>
      </w:pPr>
      <w:r w:rsidRPr="00721E1B">
        <w:rPr>
          <w:rFonts w:asciiTheme="majorBidi" w:hAnsiTheme="majorBidi" w:cstheme="majorBidi"/>
          <w:b/>
          <w:bCs/>
          <w:rtl/>
          <w:lang w:bidi="ar-DZ"/>
        </w:rPr>
        <w:t xml:space="preserve">الكلمات </w:t>
      </w:r>
      <w:proofErr w:type="spellStart"/>
      <w:r w:rsidRPr="00721E1B">
        <w:rPr>
          <w:rFonts w:asciiTheme="majorBidi" w:hAnsiTheme="majorBidi" w:cstheme="majorBidi"/>
          <w:b/>
          <w:bCs/>
          <w:rtl/>
          <w:lang w:bidi="ar-DZ"/>
        </w:rPr>
        <w:t>المفتاحية</w:t>
      </w:r>
      <w:proofErr w:type="spellEnd"/>
      <w:r w:rsidRPr="00721E1B">
        <w:rPr>
          <w:rFonts w:asciiTheme="majorBidi" w:hAnsiTheme="majorBidi" w:cstheme="majorBidi" w:hint="cs"/>
          <w:b/>
          <w:bCs/>
          <w:rtl/>
          <w:lang w:bidi="ar-DZ"/>
        </w:rPr>
        <w:t>: </w:t>
      </w:r>
      <w:r w:rsidRPr="00721E1B">
        <w:rPr>
          <w:rFonts w:asciiTheme="majorBidi" w:hAnsiTheme="majorBidi" w:cstheme="majorBidi"/>
          <w:b/>
          <w:bCs/>
          <w:rtl/>
          <w:lang w:bidi="ar-DZ"/>
        </w:rPr>
        <w:t xml:space="preserve"> قاطع الدارة التفاضلية </w:t>
      </w:r>
      <w:r w:rsidRPr="00721E1B">
        <w:rPr>
          <w:rFonts w:asciiTheme="majorBidi" w:hAnsiTheme="majorBidi" w:cstheme="majorBidi" w:hint="cs"/>
          <w:b/>
          <w:bCs/>
          <w:rtl/>
          <w:lang w:bidi="ar-DZ"/>
        </w:rPr>
        <w:t>،</w:t>
      </w:r>
      <w:r w:rsidRPr="00721E1B">
        <w:rPr>
          <w:rFonts w:asciiTheme="majorBidi" w:hAnsiTheme="majorBidi" w:cstheme="majorBidi"/>
          <w:b/>
          <w:bCs/>
          <w:rtl/>
          <w:lang w:bidi="ar-DZ"/>
        </w:rPr>
        <w:t xml:space="preserve"> الحماية المغناطيسية الحرارية</w:t>
      </w:r>
      <w:r w:rsidRPr="00721E1B">
        <w:rPr>
          <w:rFonts w:asciiTheme="majorBidi" w:hAnsiTheme="majorBidi" w:cstheme="majorBidi" w:hint="cs"/>
          <w:b/>
          <w:bCs/>
          <w:rtl/>
          <w:lang w:bidi="ar-DZ"/>
        </w:rPr>
        <w:t>،</w:t>
      </w:r>
      <w:r w:rsidRPr="00721E1B">
        <w:rPr>
          <w:rFonts w:asciiTheme="majorBidi" w:hAnsiTheme="majorBidi" w:cstheme="majorBidi"/>
          <w:b/>
          <w:bCs/>
          <w:rtl/>
          <w:lang w:bidi="ar-DZ"/>
        </w:rPr>
        <w:t xml:space="preserve">  الحساسية  </w:t>
      </w:r>
      <w:r w:rsidRPr="00721E1B">
        <w:rPr>
          <w:rFonts w:asciiTheme="majorBidi" w:hAnsiTheme="majorBidi" w:cstheme="majorBidi" w:hint="cs"/>
          <w:b/>
          <w:bCs/>
          <w:rtl/>
          <w:lang w:bidi="ar-DZ"/>
        </w:rPr>
        <w:t>،</w:t>
      </w:r>
      <w:r w:rsidRPr="00721E1B">
        <w:rPr>
          <w:rFonts w:asciiTheme="majorBidi" w:hAnsiTheme="majorBidi" w:cstheme="majorBidi"/>
          <w:b/>
          <w:bCs/>
          <w:rtl/>
          <w:lang w:bidi="ar-DZ"/>
        </w:rPr>
        <w:t xml:space="preserve">الانتقائية  </w:t>
      </w:r>
      <w:r w:rsidRPr="00721E1B">
        <w:rPr>
          <w:rFonts w:asciiTheme="majorBidi" w:hAnsiTheme="majorBidi" w:cstheme="majorBidi" w:hint="cs"/>
          <w:b/>
          <w:bCs/>
          <w:rtl/>
          <w:lang w:bidi="ar-DZ"/>
        </w:rPr>
        <w:t>،</w:t>
      </w:r>
      <w:r w:rsidRPr="00721E1B">
        <w:rPr>
          <w:rFonts w:asciiTheme="majorBidi" w:hAnsiTheme="majorBidi" w:cstheme="majorBidi"/>
          <w:b/>
          <w:bCs/>
          <w:rtl/>
          <w:lang w:bidi="ar-DZ"/>
        </w:rPr>
        <w:t xml:space="preserve">  منحنى القطع </w:t>
      </w:r>
    </w:p>
    <w:p w:rsidR="00721E1B" w:rsidRPr="00721E1B" w:rsidRDefault="00721E1B" w:rsidP="00721E1B">
      <w:pPr>
        <w:rPr>
          <w:rFonts w:asciiTheme="majorBidi" w:hAnsiTheme="majorBidi" w:cstheme="majorBidi"/>
          <w:b/>
          <w:bCs/>
        </w:rPr>
      </w:pPr>
      <w:r w:rsidRPr="00721E1B">
        <w:rPr>
          <w:rFonts w:asciiTheme="majorBidi" w:hAnsiTheme="majorBidi" w:cstheme="majorBidi"/>
          <w:b/>
          <w:bCs/>
        </w:rPr>
        <w:t xml:space="preserve">Résumé </w:t>
      </w:r>
      <w:bookmarkStart w:id="0" w:name="_GoBack"/>
      <w:bookmarkEnd w:id="0"/>
    </w:p>
    <w:p w:rsidR="00721E1B" w:rsidRPr="00721E1B" w:rsidRDefault="00721E1B" w:rsidP="00721E1B">
      <w:pPr>
        <w:spacing w:line="360" w:lineRule="auto"/>
        <w:jc w:val="both"/>
        <w:rPr>
          <w:rFonts w:asciiTheme="majorBidi" w:hAnsiTheme="majorBidi" w:cstheme="majorBidi"/>
          <w:lang w:bidi="ar-DZ"/>
        </w:rPr>
      </w:pPr>
      <w:r w:rsidRPr="00721E1B">
        <w:rPr>
          <w:rFonts w:asciiTheme="majorBidi" w:hAnsiTheme="majorBidi" w:cstheme="majorBidi"/>
        </w:rPr>
        <w:t xml:space="preserve">Dans ce projet de fin d’étude nous avons le problème d’avoir la sensibilité et la précision de l’appareil de protection disjoncteur différentiel. Ce mémoire permettre à l’étudiant en métrologie d’avoir une idée sur les défauts électrique qui peuvent être dans une </w:t>
      </w:r>
      <w:proofErr w:type="spellStart"/>
      <w:r w:rsidRPr="00721E1B">
        <w:rPr>
          <w:rFonts w:asciiTheme="majorBidi" w:hAnsiTheme="majorBidi" w:cstheme="majorBidi"/>
        </w:rPr>
        <w:t>installationélectrique</w:t>
      </w:r>
      <w:proofErr w:type="spellEnd"/>
      <w:r w:rsidRPr="00721E1B">
        <w:rPr>
          <w:rFonts w:asciiTheme="majorBidi" w:hAnsiTheme="majorBidi" w:cstheme="majorBidi"/>
        </w:rPr>
        <w:t xml:space="preserve"> domestique </w:t>
      </w:r>
      <w:proofErr w:type="spellStart"/>
      <w:r w:rsidRPr="00721E1B">
        <w:rPr>
          <w:rFonts w:asciiTheme="majorBidi" w:hAnsiTheme="majorBidi" w:cstheme="majorBidi"/>
        </w:rPr>
        <w:t>ainsiqueles</w:t>
      </w:r>
      <w:proofErr w:type="spellEnd"/>
      <w:r w:rsidRPr="00721E1B">
        <w:rPr>
          <w:rFonts w:asciiTheme="majorBidi" w:hAnsiTheme="majorBidi" w:cstheme="majorBidi"/>
        </w:rPr>
        <w:t xml:space="preserve"> régimes de neutre et leurs intérêts dans le domaine </w:t>
      </w:r>
      <w:proofErr w:type="spellStart"/>
      <w:r w:rsidRPr="00721E1B">
        <w:rPr>
          <w:rFonts w:asciiTheme="majorBidi" w:hAnsiTheme="majorBidi" w:cstheme="majorBidi"/>
        </w:rPr>
        <w:t>deprotection</w:t>
      </w:r>
      <w:proofErr w:type="spellEnd"/>
      <w:r w:rsidRPr="00721E1B">
        <w:rPr>
          <w:rFonts w:asciiTheme="majorBidi" w:hAnsiTheme="majorBidi" w:cstheme="majorBidi"/>
        </w:rPr>
        <w:t xml:space="preserve"> différentielle et plus exactement la sensibilité des disjoncteurs qui </w:t>
      </w:r>
      <w:proofErr w:type="spellStart"/>
      <w:r w:rsidRPr="00721E1B">
        <w:rPr>
          <w:rFonts w:asciiTheme="majorBidi" w:hAnsiTheme="majorBidi" w:cstheme="majorBidi"/>
        </w:rPr>
        <w:t>dépend.Ce</w:t>
      </w:r>
      <w:proofErr w:type="spellEnd"/>
      <w:r w:rsidRPr="00721E1B">
        <w:rPr>
          <w:rFonts w:asciiTheme="majorBidi" w:hAnsiTheme="majorBidi" w:cstheme="majorBidi"/>
        </w:rPr>
        <w:t xml:space="preserve"> mémoire touche aussi un élément essentiel pour les dispositifs de protection différentiel qui est la sélectivité A la fin de ce </w:t>
      </w:r>
      <w:proofErr w:type="spellStart"/>
      <w:r w:rsidRPr="00721E1B">
        <w:rPr>
          <w:rFonts w:asciiTheme="majorBidi" w:hAnsiTheme="majorBidi" w:cstheme="majorBidi"/>
        </w:rPr>
        <w:t>mémoire,nous</w:t>
      </w:r>
      <w:proofErr w:type="spellEnd"/>
      <w:r w:rsidRPr="00721E1B">
        <w:rPr>
          <w:rFonts w:asciiTheme="majorBidi" w:hAnsiTheme="majorBidi" w:cstheme="majorBidi"/>
        </w:rPr>
        <w:t xml:space="preserve"> une série d’essais sur des échantillons de disjoncteur différentiel exigé par la CEI au niveau de laboratoire </w:t>
      </w:r>
      <w:r w:rsidRPr="00721E1B">
        <w:rPr>
          <w:rFonts w:asciiTheme="majorBidi" w:hAnsiTheme="majorBidi" w:cstheme="majorBidi"/>
          <w:lang w:bidi="ar-DZ"/>
        </w:rPr>
        <w:t>de la société nationale AMC.</w:t>
      </w:r>
    </w:p>
    <w:p w:rsidR="00DD0600" w:rsidRPr="00721E1B" w:rsidRDefault="00721E1B" w:rsidP="00721E1B">
      <w:pPr>
        <w:rPr>
          <w:rFonts w:asciiTheme="majorBidi" w:hAnsiTheme="majorBidi" w:cstheme="majorBidi"/>
          <w:lang w:bidi="ar-DZ"/>
        </w:rPr>
      </w:pPr>
      <w:r w:rsidRPr="00721E1B">
        <w:rPr>
          <w:rFonts w:asciiTheme="majorBidi" w:hAnsiTheme="majorBidi" w:cstheme="majorBidi"/>
          <w:b/>
          <w:bCs/>
          <w:lang w:bidi="ar-DZ"/>
        </w:rPr>
        <w:t xml:space="preserve">Mot clés: </w:t>
      </w:r>
      <w:r w:rsidRPr="00721E1B">
        <w:rPr>
          <w:rFonts w:asciiTheme="majorBidi" w:hAnsiTheme="majorBidi" w:cstheme="majorBidi"/>
          <w:lang w:bidi="ar-DZ"/>
        </w:rPr>
        <w:t xml:space="preserve">Disjoncteur différentielle, Magnétothermique, </w:t>
      </w:r>
      <w:proofErr w:type="spellStart"/>
      <w:r w:rsidRPr="00721E1B">
        <w:rPr>
          <w:rFonts w:asciiTheme="majorBidi" w:hAnsiTheme="majorBidi" w:cstheme="majorBidi"/>
          <w:lang w:bidi="ar-DZ"/>
        </w:rPr>
        <w:t>sensibilité</w:t>
      </w:r>
      <w:proofErr w:type="gramStart"/>
      <w:r w:rsidRPr="00721E1B">
        <w:rPr>
          <w:rFonts w:asciiTheme="majorBidi" w:hAnsiTheme="majorBidi" w:cstheme="majorBidi"/>
          <w:lang w:bidi="ar-DZ"/>
        </w:rPr>
        <w:t>,sélectivité</w:t>
      </w:r>
      <w:proofErr w:type="spellEnd"/>
      <w:r w:rsidRPr="00721E1B">
        <w:rPr>
          <w:rFonts w:asciiTheme="majorBidi" w:hAnsiTheme="majorBidi" w:cstheme="majorBidi"/>
          <w:lang w:bidi="ar-DZ"/>
        </w:rPr>
        <w:t>,précision</w:t>
      </w:r>
      <w:proofErr w:type="gramEnd"/>
      <w:r w:rsidRPr="00721E1B">
        <w:rPr>
          <w:rFonts w:asciiTheme="majorBidi" w:hAnsiTheme="majorBidi" w:cstheme="majorBidi"/>
          <w:lang w:bidi="ar-DZ"/>
        </w:rPr>
        <w:t>, .courbe de déclenchement</w:t>
      </w:r>
    </w:p>
    <w:p w:rsidR="00721E1B" w:rsidRPr="00721E1B" w:rsidRDefault="00721E1B" w:rsidP="00721E1B">
      <w:pPr>
        <w:tabs>
          <w:tab w:val="left" w:pos="2970"/>
        </w:tabs>
        <w:spacing w:line="360" w:lineRule="auto"/>
        <w:jc w:val="center"/>
        <w:rPr>
          <w:rFonts w:cs="Times New Roman"/>
          <w:b/>
          <w:bCs/>
          <w:lang w:val="en-US"/>
        </w:rPr>
      </w:pPr>
      <w:r w:rsidRPr="00721E1B">
        <w:rPr>
          <w:rFonts w:cs="Times New Roman"/>
          <w:b/>
          <w:bCs/>
          <w:lang w:val="en-US"/>
        </w:rPr>
        <w:t>Abstract</w:t>
      </w:r>
    </w:p>
    <w:p w:rsidR="00721E1B" w:rsidRPr="00721E1B" w:rsidRDefault="00721E1B" w:rsidP="00721E1B">
      <w:pPr>
        <w:tabs>
          <w:tab w:val="left" w:pos="2970"/>
        </w:tabs>
        <w:spacing w:line="360" w:lineRule="auto"/>
        <w:jc w:val="both"/>
        <w:rPr>
          <w:rFonts w:cs="Times New Roman"/>
          <w:color w:val="000000" w:themeColor="text1"/>
          <w:lang w:val="en-US"/>
        </w:rPr>
      </w:pPr>
      <w:r w:rsidRPr="00721E1B">
        <w:rPr>
          <w:rFonts w:cs="Times New Roman"/>
          <w:color w:val="000000" w:themeColor="text1"/>
          <w:lang w:val="en-US"/>
        </w:rPr>
        <w:t xml:space="preserve">The differencial circuit breaker is a highly importance protective device. In this study we have sought </w:t>
      </w:r>
      <w:proofErr w:type="gramStart"/>
      <w:r w:rsidRPr="00721E1B">
        <w:rPr>
          <w:rFonts w:cs="Times New Roman"/>
          <w:color w:val="000000" w:themeColor="text1"/>
          <w:lang w:val="en-US"/>
        </w:rPr>
        <w:t>to</w:t>
      </w:r>
      <w:proofErr w:type="gramEnd"/>
      <w:r w:rsidRPr="00721E1B">
        <w:rPr>
          <w:rFonts w:cs="Times New Roman"/>
          <w:color w:val="000000" w:themeColor="text1"/>
          <w:lang w:val="en-US"/>
        </w:rPr>
        <w:t xml:space="preserve"> highlight its significance effectiveness, and most important the précision and margin of error in detecting electrical faults. The efficiency of this type of protective device is directly linked to other operating conditions such as neutral systems, where we have illustrated their </w:t>
      </w:r>
      <w:proofErr w:type="gramStart"/>
      <w:r w:rsidRPr="00721E1B">
        <w:rPr>
          <w:rFonts w:cs="Times New Roman"/>
          <w:color w:val="000000" w:themeColor="text1"/>
          <w:lang w:val="en-US"/>
        </w:rPr>
        <w:t>types</w:t>
      </w:r>
      <w:proofErr w:type="gramEnd"/>
      <w:r w:rsidRPr="00721E1B">
        <w:rPr>
          <w:rFonts w:cs="Times New Roman"/>
          <w:color w:val="000000" w:themeColor="text1"/>
          <w:lang w:val="en-US"/>
        </w:rPr>
        <w:t xml:space="preserve"> benifits and applications in direct connection with it depends. This work also addresses </w:t>
      </w:r>
      <w:proofErr w:type="gramStart"/>
      <w:r w:rsidRPr="00721E1B">
        <w:rPr>
          <w:rFonts w:cs="Times New Roman"/>
          <w:color w:val="000000" w:themeColor="text1"/>
          <w:lang w:val="en-US"/>
        </w:rPr>
        <w:t>a crucial elements</w:t>
      </w:r>
      <w:proofErr w:type="gramEnd"/>
      <w:r w:rsidRPr="00721E1B">
        <w:rPr>
          <w:rFonts w:cs="Times New Roman"/>
          <w:color w:val="000000" w:themeColor="text1"/>
          <w:lang w:val="en-US"/>
        </w:rPr>
        <w:t xml:space="preserve"> in differential protection devices, which is selectivity.</w:t>
      </w:r>
    </w:p>
    <w:p w:rsidR="00721E1B" w:rsidRPr="00721E1B" w:rsidRDefault="00721E1B" w:rsidP="00721E1B">
      <w:pPr>
        <w:tabs>
          <w:tab w:val="left" w:pos="2970"/>
        </w:tabs>
        <w:spacing w:line="360" w:lineRule="auto"/>
        <w:jc w:val="both"/>
        <w:rPr>
          <w:rFonts w:cs="Times New Roman"/>
          <w:color w:val="000000" w:themeColor="text1"/>
          <w:lang w:val="en-US"/>
        </w:rPr>
      </w:pPr>
      <w:r w:rsidRPr="00721E1B">
        <w:rPr>
          <w:rFonts w:cs="Times New Roman"/>
          <w:color w:val="000000" w:themeColor="text1"/>
          <w:lang w:val="en-US"/>
        </w:rPr>
        <w:t>Our work was validated through a series of tests on samples of differential circuit breakers conducted at the AMC L’Eulma laboratary as required the IEC 61009-1—2012 standards.</w:t>
      </w:r>
    </w:p>
    <w:p w:rsidR="00721E1B" w:rsidRPr="00721E1B" w:rsidRDefault="00721E1B" w:rsidP="00721E1B">
      <w:pPr>
        <w:rPr>
          <w:lang w:val="en-US" w:bidi="ar-DZ"/>
        </w:rPr>
      </w:pPr>
      <w:r w:rsidRPr="00721E1B">
        <w:rPr>
          <w:rFonts w:cs="Times New Roman"/>
          <w:b/>
          <w:bCs/>
          <w:lang w:val="en-US"/>
        </w:rPr>
        <w:t xml:space="preserve">Key </w:t>
      </w:r>
      <w:proofErr w:type="gramStart"/>
      <w:r w:rsidRPr="00721E1B">
        <w:rPr>
          <w:rFonts w:cs="Times New Roman"/>
          <w:b/>
          <w:bCs/>
          <w:lang w:val="en-US"/>
        </w:rPr>
        <w:t>words :</w:t>
      </w:r>
      <w:proofErr w:type="gramEnd"/>
      <w:r w:rsidRPr="00721E1B">
        <w:rPr>
          <w:rFonts w:cs="Times New Roman"/>
          <w:b/>
          <w:bCs/>
          <w:lang w:val="en-US"/>
        </w:rPr>
        <w:t xml:space="preserve"> Differential circuit breaker, </w:t>
      </w:r>
      <w:proofErr w:type="spellStart"/>
      <w:r w:rsidRPr="00721E1B">
        <w:rPr>
          <w:rFonts w:cs="Times New Roman"/>
          <w:b/>
          <w:bCs/>
          <w:lang w:val="en-US"/>
        </w:rPr>
        <w:t>Magnetothermal</w:t>
      </w:r>
      <w:proofErr w:type="spellEnd"/>
      <w:r w:rsidRPr="00721E1B">
        <w:rPr>
          <w:rFonts w:cs="Times New Roman"/>
          <w:b/>
          <w:bCs/>
          <w:lang w:val="en-US"/>
        </w:rPr>
        <w:t xml:space="preserve"> protection, sensitivity, selectivity,</w:t>
      </w:r>
    </w:p>
    <w:sectPr w:rsidR="00721E1B" w:rsidRPr="00721E1B" w:rsidSect="00DD06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721E1B"/>
    <w:rsid w:val="00721E1B"/>
    <w:rsid w:val="00DD06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1B"/>
    <w:pPr>
      <w:spacing w:after="160" w:line="259"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0B02-DDD6-46C6-9D14-9E579F3D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2072</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2024-11-20T09:12:00Z</dcterms:created>
  <dcterms:modified xsi:type="dcterms:W3CDTF">2024-11-20T09:13:00Z</dcterms:modified>
</cp:coreProperties>
</file>