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12" w:rsidRPr="0095085B" w:rsidRDefault="0095085B" w:rsidP="004C6312">
      <w:pPr>
        <w:bidi/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rtl/>
        </w:rPr>
      </w:pPr>
      <w:r w:rsidRPr="0095085B">
        <w:rPr>
          <w:rStyle w:val="rynqvb"/>
          <w:rFonts w:asciiTheme="majorBidi" w:hAnsiTheme="majorBidi" w:cstheme="majorBidi"/>
          <w:b/>
          <w:bCs/>
          <w:sz w:val="24"/>
          <w:szCs w:val="24"/>
          <w:rtl/>
        </w:rPr>
        <w:t>ملخص</w:t>
      </w:r>
    </w:p>
    <w:p w:rsidR="0095085B" w:rsidRPr="00B83032" w:rsidRDefault="00DD305D" w:rsidP="00150584">
      <w:pPr>
        <w:bidi/>
        <w:jc w:val="both"/>
        <w:rPr>
          <w:rStyle w:val="rynqvb"/>
          <w:rFonts w:asciiTheme="majorBidi" w:hAnsiTheme="majorBidi" w:cstheme="majorBidi"/>
          <w:sz w:val="28"/>
          <w:szCs w:val="28"/>
        </w:rPr>
      </w:pP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لا تزال مركبات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CdS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و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CdTe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ضمن المواد الرائدة لتطوير الخلايا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الكهروضوئية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الموثوقة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والفعالة.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الخاصيتان الرئيسيتان لهذه المواد هما فجوات النطاق (2.42 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eV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و1.5 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eV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، على التوالي) القريبة من القيمة المثالية لكفاءة التحويل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الكهروضوئي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(1.45 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eV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)، ومعاملات الامتصاص الضوئي العالية.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الخلايا الشمسية المعتمدة على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CdS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و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CdTe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هي بشكل عام وصلات متغايرة.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غالبًا ما يتم استخدام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CdS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كطبقة باعث أو نافذة من النوع 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n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، بينما يتم استخدام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CdTe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غالبًا كقاعدة أو طبقة ماصة من النوع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p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.وفقا للمراجع المتوفرة، تم تحقيق قيم للمردود تصل إلى 22٪، ولكن لا تزال هناك إمكانية لزيادته.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hwtze"/>
          <w:rFonts w:asciiTheme="majorBidi" w:hAnsiTheme="majorBidi" w:cstheme="majorBidi"/>
          <w:sz w:val="24"/>
          <w:szCs w:val="24"/>
          <w:rtl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في هذا العمل، أجرينا دراسة تحسين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معلمية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عن طريق محاكاة خلية الوصل</w:t>
      </w:r>
      <w:r w:rsidR="00150584"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ة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المتغايرة</w:t>
      </w:r>
      <w:r w:rsidR="00150584"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 xml:space="preserve"> 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CdS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/</w:t>
      </w:r>
      <w:proofErr w:type="spellStart"/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CdTe</w:t>
      </w:r>
      <w:proofErr w:type="spellEnd"/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، من أجل تحسين الأداء الحالي</w:t>
      </w:r>
      <w:r w:rsidR="00150584"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.</w:t>
      </w:r>
      <w:r w:rsidRPr="00B83032">
        <w:rPr>
          <w:rStyle w:val="hwtze"/>
          <w:rFonts w:asciiTheme="majorBidi" w:hAnsiTheme="majorBidi" w:cstheme="majorBidi"/>
          <w:sz w:val="24"/>
          <w:szCs w:val="24"/>
          <w:lang/>
        </w:rPr>
        <w:t xml:space="preserve">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تظهر النتائج التي تم الحصول عليها أن كفاءة </w:t>
      </w:r>
      <w:r w:rsidR="00150584"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تحويل 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الطاقة في الوصل</w:t>
      </w:r>
      <w:r w:rsidR="00150584"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>ة</w:t>
      </w:r>
      <w:r w:rsidRPr="00B83032">
        <w:rPr>
          <w:rStyle w:val="rynqvb"/>
          <w:rFonts w:asciiTheme="majorBidi" w:hAnsiTheme="majorBidi" w:cstheme="majorBidi"/>
          <w:sz w:val="24"/>
          <w:szCs w:val="24"/>
          <w:rtl/>
          <w:lang/>
        </w:rPr>
        <w:t xml:space="preserve"> المدروسة يمكن أن تصل إلى 26٪ عن طريق تقليل الخسائر الناجمة عن الانعكاس قدر الإمكان</w:t>
      </w:r>
      <w:r w:rsidRPr="00B83032">
        <w:rPr>
          <w:rStyle w:val="rynqvb"/>
          <w:rFonts w:asciiTheme="majorBidi" w:hAnsiTheme="majorBidi" w:cstheme="majorBidi"/>
          <w:sz w:val="24"/>
          <w:szCs w:val="24"/>
          <w:lang/>
        </w:rPr>
        <w:t>.</w:t>
      </w:r>
    </w:p>
    <w:p w:rsidR="00AB11BE" w:rsidRPr="0095085B" w:rsidRDefault="00AB11BE">
      <w:pPr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5085B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95085B" w:rsidRPr="001D7688" w:rsidRDefault="00DD305D" w:rsidP="001D7688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>CdS</w:t>
      </w:r>
      <w:proofErr w:type="spellEnd"/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>CdTe</w:t>
      </w:r>
      <w:proofErr w:type="spellEnd"/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compounds continue to be leading materials for the development of reliable and efficient photovoltaic cells. </w:t>
      </w:r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two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key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properties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of these materials are its band gaps (2.42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eV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and 1.5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eV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, respectively) close to ideal for photovoltaic conversion efficiency (1.45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eV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), and its high optical absorption coefficients. Solar cells based on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are generally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heterojunctions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is often used as an n-type emitter or window layer, while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is often used as a p-type base or absorber layer. </w:t>
      </w:r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According to the literature, </w:t>
      </w:r>
      <w:r w:rsid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conversion </w:t>
      </w:r>
      <w:r w:rsidR="001D7688">
        <w:rPr>
          <w:rStyle w:val="rynqvb"/>
          <w:rFonts w:asciiTheme="majorBidi" w:hAnsiTheme="majorBidi" w:cstheme="majorBidi"/>
          <w:sz w:val="24"/>
          <w:szCs w:val="24"/>
          <w:lang w:val="en-GB"/>
        </w:rPr>
        <w:t>efficien</w:t>
      </w:r>
      <w:r w:rsidR="001D7688" w:rsidRPr="001D7688">
        <w:rPr>
          <w:rStyle w:val="rynqvb"/>
          <w:rFonts w:asciiTheme="majorBidi" w:hAnsiTheme="majorBidi" w:cstheme="majorBidi"/>
          <w:sz w:val="24"/>
          <w:szCs w:val="24"/>
          <w:lang w:val="en-GB"/>
        </w:rPr>
        <w:t>cies</w:t>
      </w:r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up to 22% have been achieved, but there is still some potential to increase them. </w:t>
      </w:r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this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work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we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carried out a parametric optimization study by simulation of the 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>/</w:t>
      </w:r>
      <w:proofErr w:type="spellStart"/>
      <w:r w:rsidRPr="00DD305D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Pr="00DD305D">
        <w:rPr>
          <w:rStyle w:val="rynqvb"/>
          <w:rFonts w:asciiTheme="majorBidi" w:hAnsiTheme="majorBidi" w:cstheme="majorBidi"/>
          <w:sz w:val="24"/>
          <w:szCs w:val="24"/>
        </w:rPr>
        <w:t xml:space="preserve"> heterojunction cell, in order to improve current performances. </w:t>
      </w:r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The results obtained show that the </w:t>
      </w:r>
      <w:r w:rsid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conversion </w:t>
      </w:r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efficiency of the </w:t>
      </w:r>
      <w:r w:rsidR="001D7688"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studied </w:t>
      </w:r>
      <w:r w:rsidRPr="001D7688">
        <w:rPr>
          <w:rStyle w:val="rynqvb"/>
          <w:rFonts w:asciiTheme="majorBidi" w:hAnsiTheme="majorBidi" w:cstheme="majorBidi"/>
          <w:sz w:val="24"/>
          <w:szCs w:val="24"/>
          <w:lang w:val="en-US"/>
        </w:rPr>
        <w:t>heterojunction can reach 26% by minimizing losses due to reflection as much as possible.</w:t>
      </w:r>
    </w:p>
    <w:p w:rsidR="00AB11BE" w:rsidRPr="0095085B" w:rsidRDefault="00AB11BE">
      <w:pPr>
        <w:rPr>
          <w:rStyle w:val="rynqvb"/>
          <w:rFonts w:asciiTheme="majorBidi" w:hAnsiTheme="majorBidi" w:cstheme="majorBidi"/>
          <w:b/>
          <w:bCs/>
          <w:sz w:val="24"/>
          <w:szCs w:val="24"/>
        </w:rPr>
      </w:pPr>
      <w:r w:rsidRPr="0095085B">
        <w:rPr>
          <w:rStyle w:val="rynqvb"/>
          <w:rFonts w:asciiTheme="majorBidi" w:hAnsiTheme="majorBidi" w:cstheme="majorBidi"/>
          <w:b/>
          <w:bCs/>
          <w:sz w:val="24"/>
          <w:szCs w:val="24"/>
        </w:rPr>
        <w:t>Résumé</w:t>
      </w:r>
    </w:p>
    <w:p w:rsidR="004329E0" w:rsidRPr="0095085B" w:rsidRDefault="0095085B" w:rsidP="001D7688">
      <w:pPr>
        <w:jc w:val="both"/>
        <w:rPr>
          <w:rStyle w:val="hwtze"/>
          <w:rFonts w:asciiTheme="majorBidi" w:hAnsiTheme="majorBidi" w:cstheme="majorBidi"/>
          <w:sz w:val="24"/>
          <w:szCs w:val="24"/>
        </w:rPr>
      </w:pPr>
      <w:r w:rsidRPr="0095085B">
        <w:rPr>
          <w:rStyle w:val="rynqvb"/>
          <w:rFonts w:asciiTheme="majorBidi" w:hAnsiTheme="majorBidi" w:cstheme="majorBidi"/>
          <w:sz w:val="24"/>
          <w:szCs w:val="24"/>
        </w:rPr>
        <w:tab/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Les composés </w:t>
      </w:r>
      <w:proofErr w:type="spellStart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continue d'être matériaux de premier plan pour le développement des cellules photovoltaïques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fiables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et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efficaces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.</w:t>
      </w:r>
      <w:r w:rsidR="004C6312" w:rsidRPr="0095085B">
        <w:rPr>
          <w:rStyle w:val="hwtze"/>
          <w:rFonts w:asciiTheme="majorBidi" w:hAnsiTheme="majorBidi" w:cstheme="majorBidi"/>
          <w:sz w:val="24"/>
          <w:szCs w:val="24"/>
        </w:rPr>
        <w:t xml:space="preserve">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Les deux propriétés clés de ce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matériau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x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sont s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es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bande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interdite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6423E7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(2.42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eV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et </w:t>
      </w:r>
      <w:r w:rsidR="006423E7" w:rsidRPr="0095085B">
        <w:rPr>
          <w:rStyle w:val="rynqvb"/>
          <w:rFonts w:asciiTheme="majorBidi" w:hAnsiTheme="majorBidi" w:cstheme="majorBidi"/>
          <w:sz w:val="24"/>
          <w:szCs w:val="24"/>
        </w:rPr>
        <w:t>1.5 eV,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respectivement</w:t>
      </w:r>
      <w:r w:rsidR="006423E7" w:rsidRPr="0095085B">
        <w:rPr>
          <w:rStyle w:val="rynqvb"/>
          <w:rFonts w:asciiTheme="majorBidi" w:hAnsiTheme="majorBidi" w:cstheme="majorBidi"/>
          <w:sz w:val="24"/>
          <w:szCs w:val="24"/>
        </w:rPr>
        <w:t>)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proche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de l'idéal pour le rendement de conversion photovoltaïque (1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.</w:t>
      </w:r>
      <w:r w:rsidR="006423E7" w:rsidRPr="0095085B">
        <w:rPr>
          <w:rStyle w:val="rynqvb"/>
          <w:rFonts w:asciiTheme="majorBidi" w:hAnsiTheme="majorBidi" w:cstheme="majorBidi"/>
          <w:sz w:val="24"/>
          <w:szCs w:val="24"/>
        </w:rPr>
        <w:t>45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eV), et s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es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coefficient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d'absorption optique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élevé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.</w:t>
      </w:r>
      <w:r w:rsidR="004C6312" w:rsidRPr="0095085B">
        <w:rPr>
          <w:rStyle w:val="hwtze"/>
          <w:rFonts w:asciiTheme="majorBidi" w:hAnsiTheme="majorBidi" w:cstheme="majorBidi"/>
          <w:sz w:val="24"/>
          <w:szCs w:val="24"/>
        </w:rPr>
        <w:t xml:space="preserve">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Les cellules solaires à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base de </w:t>
      </w:r>
      <w:proofErr w:type="spellStart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sont généralement de</w:t>
      </w:r>
      <w:r w:rsidR="004329E0" w:rsidRPr="0095085B">
        <w:rPr>
          <w:rStyle w:val="rynqvb"/>
          <w:rFonts w:asciiTheme="majorBidi" w:hAnsiTheme="majorBidi" w:cstheme="majorBidi"/>
          <w:sz w:val="24"/>
          <w:szCs w:val="24"/>
        </w:rPr>
        <w:t>s hétéro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jonctions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. Le </w:t>
      </w:r>
      <w:proofErr w:type="spellStart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est utilisé souvent comme émetteur ou couche fenêtre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de type n,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tandis que le </w:t>
      </w:r>
      <w:proofErr w:type="spellStart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est utilisé souvent comme base ou couche absorbante de type p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.</w:t>
      </w:r>
      <w:r w:rsidR="004C6312" w:rsidRPr="0095085B">
        <w:rPr>
          <w:rStyle w:val="hwtze"/>
          <w:rFonts w:asciiTheme="majorBidi" w:hAnsiTheme="majorBidi" w:cstheme="majorBidi"/>
          <w:sz w:val="24"/>
          <w:szCs w:val="24"/>
        </w:rPr>
        <w:t xml:space="preserve"> </w:t>
      </w:r>
      <w:r w:rsidR="00CD3846" w:rsidRPr="0095085B">
        <w:rPr>
          <w:rStyle w:val="hwtze"/>
          <w:rFonts w:asciiTheme="majorBidi" w:hAnsiTheme="majorBidi" w:cstheme="majorBidi"/>
          <w:sz w:val="24"/>
          <w:szCs w:val="24"/>
        </w:rPr>
        <w:t>D'après la littérature</w:t>
      </w:r>
      <w:r w:rsidR="00E25582" w:rsidRPr="0095085B">
        <w:rPr>
          <w:rStyle w:val="hwtze"/>
          <w:rFonts w:asciiTheme="majorBidi" w:hAnsiTheme="majorBidi" w:cstheme="majorBidi"/>
          <w:sz w:val="24"/>
          <w:szCs w:val="24"/>
        </w:rPr>
        <w:t>, d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es rendements</w:t>
      </w:r>
      <w:r w:rsidR="001D7688">
        <w:rPr>
          <w:rStyle w:val="rynqvb"/>
          <w:rFonts w:asciiTheme="majorBidi" w:hAnsiTheme="majorBidi" w:cstheme="majorBidi"/>
          <w:sz w:val="24"/>
          <w:szCs w:val="24"/>
        </w:rPr>
        <w:t xml:space="preserve"> énergétiques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allant jusqu'à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22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% ont été atteints, mais il existe encore un certain potentiel pour les augmenter.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Dans ce travail, n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ous 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avons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effectu</w:t>
      </w:r>
      <w:r w:rsidR="001E0765" w:rsidRPr="0095085B">
        <w:rPr>
          <w:rStyle w:val="rynqvb"/>
          <w:rFonts w:asciiTheme="majorBidi" w:hAnsiTheme="majorBidi" w:cstheme="majorBidi"/>
          <w:sz w:val="24"/>
          <w:szCs w:val="24"/>
        </w:rPr>
        <w:t>é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une </w:t>
      </w:r>
      <w:r w:rsidR="004329E0" w:rsidRPr="0095085B">
        <w:rPr>
          <w:rStyle w:val="rynqvb"/>
          <w:rFonts w:asciiTheme="majorBidi" w:hAnsiTheme="majorBidi" w:cstheme="majorBidi"/>
          <w:sz w:val="24"/>
          <w:szCs w:val="24"/>
        </w:rPr>
        <w:t>étude paramétrique d'optimisation</w:t>
      </w:r>
      <w:r w:rsidR="00E2558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par simulation</w:t>
      </w:r>
      <w:r w:rsidR="004329E0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de la cellule</w:t>
      </w:r>
      <w:r w:rsidR="004329E0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à hétérojonction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CdS</w:t>
      </w:r>
      <w:proofErr w:type="spellEnd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/</w:t>
      </w:r>
      <w:proofErr w:type="spellStart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>CdTe</w:t>
      </w:r>
      <w:proofErr w:type="spellEnd"/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, afin d'améliorer les </w:t>
      </w:r>
      <w:r w:rsidR="004329E0" w:rsidRPr="0095085B">
        <w:rPr>
          <w:rStyle w:val="rynqvb"/>
          <w:rFonts w:asciiTheme="majorBidi" w:hAnsiTheme="majorBidi" w:cstheme="majorBidi"/>
          <w:sz w:val="24"/>
          <w:szCs w:val="24"/>
        </w:rPr>
        <w:t>performances</w:t>
      </w:r>
      <w:r w:rsidR="004C631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actuelles.</w:t>
      </w:r>
      <w:r w:rsidR="00E2558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Les résultats obtenus montrent que le rendement énergétique de l'hétérojonction étudiée peut atteindre 26 % en minimisant au maximum les pertes dues </w:t>
      </w:r>
      <w:r w:rsidR="001D7688">
        <w:rPr>
          <w:rStyle w:val="rynqvb"/>
          <w:rFonts w:asciiTheme="majorBidi" w:hAnsiTheme="majorBidi" w:cstheme="majorBidi"/>
          <w:sz w:val="24"/>
          <w:szCs w:val="24"/>
        </w:rPr>
        <w:t>à la</w:t>
      </w:r>
      <w:r w:rsidR="00E25582" w:rsidRPr="0095085B">
        <w:rPr>
          <w:rStyle w:val="rynqvb"/>
          <w:rFonts w:asciiTheme="majorBidi" w:hAnsiTheme="majorBidi" w:cstheme="majorBidi"/>
          <w:sz w:val="24"/>
          <w:szCs w:val="24"/>
        </w:rPr>
        <w:t xml:space="preserve"> réflexion.</w:t>
      </w:r>
    </w:p>
    <w:p w:rsidR="004C6312" w:rsidRDefault="004C6312" w:rsidP="001E0765">
      <w:pPr>
        <w:rPr>
          <w:rtl/>
          <w:lang w:bidi="ar-DZ"/>
        </w:rPr>
      </w:pPr>
    </w:p>
    <w:sectPr w:rsidR="004C6312" w:rsidSect="00AC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1BE"/>
    <w:rsid w:val="00122496"/>
    <w:rsid w:val="00125173"/>
    <w:rsid w:val="00150584"/>
    <w:rsid w:val="00181F75"/>
    <w:rsid w:val="001D7688"/>
    <w:rsid w:val="001E0765"/>
    <w:rsid w:val="003A0B9B"/>
    <w:rsid w:val="003E3CD6"/>
    <w:rsid w:val="004329E0"/>
    <w:rsid w:val="004C6312"/>
    <w:rsid w:val="006423E7"/>
    <w:rsid w:val="00643C21"/>
    <w:rsid w:val="006D09EF"/>
    <w:rsid w:val="006D571F"/>
    <w:rsid w:val="00765EC4"/>
    <w:rsid w:val="0083449A"/>
    <w:rsid w:val="008E094F"/>
    <w:rsid w:val="0095085B"/>
    <w:rsid w:val="009A26EF"/>
    <w:rsid w:val="00A01F40"/>
    <w:rsid w:val="00A0608B"/>
    <w:rsid w:val="00A31339"/>
    <w:rsid w:val="00A660DC"/>
    <w:rsid w:val="00AB11BE"/>
    <w:rsid w:val="00AC20DC"/>
    <w:rsid w:val="00AE4A10"/>
    <w:rsid w:val="00B83032"/>
    <w:rsid w:val="00BA12BD"/>
    <w:rsid w:val="00BE1FCC"/>
    <w:rsid w:val="00C779C3"/>
    <w:rsid w:val="00CD3846"/>
    <w:rsid w:val="00D3079B"/>
    <w:rsid w:val="00DA7C72"/>
    <w:rsid w:val="00DD305D"/>
    <w:rsid w:val="00E25582"/>
    <w:rsid w:val="00E67F66"/>
    <w:rsid w:val="00EE1B27"/>
    <w:rsid w:val="00F24CF3"/>
    <w:rsid w:val="00FB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wtze">
    <w:name w:val="hwtze"/>
    <w:basedOn w:val="Policepardfaut"/>
    <w:rsid w:val="00AB11BE"/>
  </w:style>
  <w:style w:type="character" w:customStyle="1" w:styleId="rynqvb">
    <w:name w:val="rynqvb"/>
    <w:basedOn w:val="Policepardfaut"/>
    <w:rsid w:val="00AB1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2024-06-11T14:45:00Z</dcterms:created>
  <dcterms:modified xsi:type="dcterms:W3CDTF">2024-06-11T15:43:00Z</dcterms:modified>
</cp:coreProperties>
</file>