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13" w:rsidRPr="004C25E8" w:rsidRDefault="00271513" w:rsidP="00271513">
      <w:pPr>
        <w:pStyle w:val="Titre1"/>
        <w:numPr>
          <w:ilvl w:val="0"/>
          <w:numId w:val="0"/>
        </w:numPr>
        <w:spacing w:line="360" w:lineRule="auto"/>
        <w:ind w:firstLine="708"/>
        <w:rPr>
          <w:rFonts w:asciiTheme="majorBidi" w:hAnsiTheme="majorBidi"/>
          <w:b/>
          <w:bCs/>
          <w:i/>
          <w:iCs/>
          <w:sz w:val="36"/>
          <w:szCs w:val="16"/>
        </w:rPr>
      </w:pPr>
      <w:bookmarkStart w:id="0" w:name="_Toc128067227"/>
      <w:bookmarkStart w:id="1" w:name="_Toc169828601"/>
      <w:r w:rsidRPr="004C25E8">
        <w:rPr>
          <w:rFonts w:asciiTheme="majorBidi" w:hAnsiTheme="majorBidi"/>
          <w:b/>
          <w:bCs/>
          <w:i/>
          <w:iCs/>
          <w:sz w:val="36"/>
          <w:szCs w:val="16"/>
        </w:rPr>
        <w:t>Abstract</w:t>
      </w:r>
      <w:bookmarkEnd w:id="0"/>
      <w:bookmarkEnd w:id="1"/>
    </w:p>
    <w:p w:rsidR="00271513" w:rsidRPr="004C25E8" w:rsidRDefault="00271513" w:rsidP="00271513">
      <w:pPr>
        <w:spacing w:line="360" w:lineRule="auto"/>
        <w:jc w:val="both"/>
        <w:rPr>
          <w:rFonts w:asciiTheme="majorBidi" w:hAnsiTheme="majorBidi" w:cstheme="majorBidi"/>
          <w:strike/>
        </w:rPr>
      </w:pPr>
      <w:r w:rsidRPr="004C25E8">
        <w:rPr>
          <w:rFonts w:asciiTheme="majorBidi" w:hAnsiTheme="majorBidi" w:cstheme="majorBidi"/>
        </w:rPr>
        <w:tab/>
      </w:r>
    </w:p>
    <w:p w:rsidR="00271513" w:rsidRPr="004C25E8" w:rsidRDefault="00271513" w:rsidP="00271513">
      <w:pPr>
        <w:spacing w:line="360" w:lineRule="auto"/>
        <w:ind w:firstLine="708"/>
        <w:jc w:val="both"/>
        <w:rPr>
          <w:rFonts w:asciiTheme="majorBidi" w:hAnsiTheme="majorBidi" w:cstheme="majorBidi"/>
          <w:sz w:val="24"/>
          <w:szCs w:val="24"/>
        </w:rPr>
      </w:pPr>
      <w:r w:rsidRPr="004C25E8">
        <w:rPr>
          <w:rFonts w:asciiTheme="majorBidi" w:hAnsiTheme="majorBidi" w:cstheme="majorBidi"/>
          <w:sz w:val="24"/>
          <w:szCs w:val="24"/>
        </w:rPr>
        <w:t>This study explores the application of optical spectroscopies and fluorescence microscopy for detecting microplastics in aquatic environments. Integrating FTIR and UV-Visible spectroscopies with band gap analysis provides insights into microplastic identification and optical properties, despite challenges like water interference and Mie scattering. Fluorescence microscopy enhances detection sensitivity by capturing unique fluorescence signatures of microplastics, overcoming diffraction limits to visualize particles in water samples. Our findings underscore the importance of these techniques in advancing microplastic research, offering efficient tools for monitoring and mitigating environmental pollution. Future efforts should focus on refining methodologies to detect nanoplastics, ensuring comprehensive assessment and management of microplastic contamination in global ecosystems.</w:t>
      </w:r>
    </w:p>
    <w:p w:rsidR="00271513" w:rsidRDefault="00271513" w:rsidP="00271513">
      <w:pPr>
        <w:rPr>
          <w:rFonts w:asciiTheme="majorBidi" w:hAnsiTheme="majorBidi" w:cstheme="majorBidi"/>
          <w:sz w:val="24"/>
          <w:szCs w:val="24"/>
          <w:rtl/>
        </w:rPr>
      </w:pPr>
      <w:r w:rsidRPr="004C25E8">
        <w:rPr>
          <w:rFonts w:asciiTheme="majorBidi" w:hAnsiTheme="majorBidi" w:cstheme="majorBidi"/>
          <w:sz w:val="24"/>
          <w:szCs w:val="24"/>
        </w:rPr>
        <w:t>Keywords: Microplastics pollution, Spectroscopy, Microscopy, Water quality.</w:t>
      </w:r>
    </w:p>
    <w:p w:rsidR="00271513" w:rsidRDefault="00271513" w:rsidP="00271513">
      <w:pPr>
        <w:rPr>
          <w:rFonts w:asciiTheme="majorBidi" w:hAnsiTheme="majorBidi" w:cstheme="majorBidi"/>
          <w:sz w:val="24"/>
          <w:szCs w:val="24"/>
          <w:rtl/>
        </w:rPr>
      </w:pPr>
    </w:p>
    <w:p w:rsidR="00271513" w:rsidRDefault="00271513" w:rsidP="00271513">
      <w:pPr>
        <w:rPr>
          <w:rFonts w:asciiTheme="majorBidi" w:hAnsiTheme="majorBidi" w:cstheme="majorBidi"/>
          <w:sz w:val="24"/>
          <w:szCs w:val="24"/>
          <w:rtl/>
        </w:rPr>
      </w:pPr>
    </w:p>
    <w:p w:rsidR="00271513" w:rsidRPr="00271513" w:rsidRDefault="00271513" w:rsidP="00271513">
      <w:pPr>
        <w:pStyle w:val="Titre1"/>
        <w:jc w:val="right"/>
        <w:rPr>
          <w:rFonts w:asciiTheme="minorHAnsi" w:eastAsiaTheme="minorHAnsi" w:hAnsiTheme="minorHAnsi" w:cstheme="minorBidi"/>
          <w:sz w:val="22"/>
          <w:szCs w:val="22"/>
          <w:rtl/>
        </w:rPr>
      </w:pPr>
      <w:r w:rsidRPr="00271513">
        <w:rPr>
          <w:rFonts w:hint="cs"/>
          <w:b/>
          <w:bCs/>
          <w:i/>
          <w:iCs/>
          <w:sz w:val="36"/>
          <w:szCs w:val="36"/>
          <w:rtl/>
        </w:rPr>
        <w:t>الملخص</w:t>
      </w:r>
      <w:bookmarkStart w:id="2" w:name="_GoBack"/>
      <w:bookmarkEnd w:id="2"/>
      <w:r w:rsidRPr="00271513">
        <w:rPr>
          <w:rFonts w:asciiTheme="minorHAnsi" w:eastAsiaTheme="minorHAnsi" w:hAnsiTheme="minorHAnsi" w:cstheme="minorBidi" w:hint="cs"/>
          <w:sz w:val="22"/>
          <w:szCs w:val="22"/>
          <w:rtl/>
        </w:rPr>
        <w:t xml:space="preserve"> </w:t>
      </w:r>
    </w:p>
    <w:p w:rsidR="00271513" w:rsidRPr="00975413" w:rsidRDefault="00271513" w:rsidP="00271513">
      <w:pPr>
        <w:rPr>
          <w:rtl/>
        </w:rPr>
      </w:pPr>
    </w:p>
    <w:p w:rsidR="00271513" w:rsidRDefault="00271513" w:rsidP="00271513">
      <w:pPr>
        <w:spacing w:line="360" w:lineRule="auto"/>
        <w:jc w:val="both"/>
        <w:rPr>
          <w:rFonts w:asciiTheme="majorBidi" w:hAnsiTheme="majorBidi" w:cs="Times New Roman"/>
          <w:sz w:val="24"/>
          <w:szCs w:val="24"/>
          <w:rtl/>
        </w:rPr>
      </w:pPr>
      <w:r w:rsidRPr="001B3139">
        <w:rPr>
          <w:rFonts w:asciiTheme="majorBidi" w:hAnsiTheme="majorBidi" w:cs="Times New Roman"/>
          <w:sz w:val="24"/>
          <w:szCs w:val="24"/>
          <w:rtl/>
        </w:rPr>
        <w:t xml:space="preserve">توضح هذه الدراسة إمكانية تطبيق التحليل الطيفي و الميكروسكوب الفلوري للكشف عن الميكروبلاستيك في البيئة  المائية. </w:t>
      </w:r>
      <w:r>
        <w:rPr>
          <w:rFonts w:asciiTheme="majorBidi" w:hAnsiTheme="majorBidi" w:cs="Times New Roman" w:hint="cs"/>
          <w:sz w:val="24"/>
          <w:szCs w:val="24"/>
          <w:rtl/>
        </w:rPr>
        <w:t xml:space="preserve"> </w:t>
      </w:r>
      <w:r w:rsidRPr="001B3139">
        <w:rPr>
          <w:rFonts w:asciiTheme="majorBidi" w:hAnsiTheme="majorBidi" w:cs="Times New Roman"/>
          <w:sz w:val="24"/>
          <w:szCs w:val="24"/>
          <w:rtl/>
        </w:rPr>
        <w:t xml:space="preserve">يوضح دمج </w:t>
      </w:r>
      <w:r>
        <w:rPr>
          <w:rFonts w:asciiTheme="majorBidi" w:hAnsiTheme="majorBidi" w:cs="Times New Roman" w:hint="cs"/>
          <w:sz w:val="24"/>
          <w:szCs w:val="24"/>
          <w:rtl/>
        </w:rPr>
        <w:t xml:space="preserve"> تحليل ال</w:t>
      </w:r>
      <w:r>
        <w:rPr>
          <w:rFonts w:asciiTheme="majorBidi" w:hAnsiTheme="majorBidi" w:cs="Times New Roman"/>
          <w:sz w:val="24"/>
          <w:szCs w:val="24"/>
          <w:rtl/>
        </w:rPr>
        <w:t>أ</w:t>
      </w:r>
      <w:r>
        <w:rPr>
          <w:rFonts w:asciiTheme="majorBidi" w:hAnsiTheme="majorBidi" w:cs="Times New Roman" w:hint="cs"/>
          <w:sz w:val="24"/>
          <w:szCs w:val="24"/>
          <w:rtl/>
        </w:rPr>
        <w:t>طي</w:t>
      </w:r>
      <w:r w:rsidRPr="001B3139">
        <w:rPr>
          <w:rFonts w:asciiTheme="majorBidi" w:hAnsiTheme="majorBidi" w:cs="Times New Roman"/>
          <w:sz w:val="24"/>
          <w:szCs w:val="24"/>
          <w:rtl/>
        </w:rPr>
        <w:t xml:space="preserve">اف </w:t>
      </w:r>
      <w:r>
        <w:rPr>
          <w:rFonts w:asciiTheme="majorBidi" w:hAnsiTheme="majorBidi" w:cstheme="majorBidi" w:hint="cs"/>
          <w:sz w:val="24"/>
          <w:szCs w:val="24"/>
          <w:rtl/>
          <w:lang w:bidi="ar-DZ"/>
        </w:rPr>
        <w:t xml:space="preserve">المرئية و الفوق البنفسجية وتحت الحمراء </w:t>
      </w:r>
      <w:r w:rsidRPr="001B3139">
        <w:rPr>
          <w:rFonts w:asciiTheme="majorBidi" w:hAnsiTheme="majorBidi" w:cs="Times New Roman"/>
          <w:sz w:val="24"/>
          <w:szCs w:val="24"/>
          <w:rtl/>
        </w:rPr>
        <w:t xml:space="preserve">مع تحليل فجوة الطاقة </w:t>
      </w:r>
      <w:r>
        <w:rPr>
          <w:rFonts w:asciiTheme="majorBidi" w:hAnsiTheme="majorBidi" w:cs="Times New Roman" w:hint="cs"/>
          <w:sz w:val="24"/>
          <w:szCs w:val="24"/>
          <w:rtl/>
        </w:rPr>
        <w:t>رؤى ثاقبة</w:t>
      </w:r>
      <w:r w:rsidRPr="001B3139">
        <w:rPr>
          <w:rFonts w:asciiTheme="majorBidi" w:hAnsiTheme="majorBidi" w:cs="Times New Roman"/>
          <w:sz w:val="24"/>
          <w:szCs w:val="24"/>
          <w:rtl/>
        </w:rPr>
        <w:t xml:space="preserve"> حول تحديد</w:t>
      </w:r>
      <w:r>
        <w:rPr>
          <w:rFonts w:asciiTheme="majorBidi" w:hAnsiTheme="majorBidi" w:cs="Times New Roman" w:hint="cs"/>
          <w:sz w:val="24"/>
          <w:szCs w:val="24"/>
          <w:rtl/>
        </w:rPr>
        <w:t xml:space="preserve"> الميكروبلاستيك وخصائصها البصرية </w:t>
      </w:r>
      <w:r w:rsidRPr="001B3139">
        <w:rPr>
          <w:rFonts w:asciiTheme="majorBidi" w:hAnsiTheme="majorBidi" w:cs="Times New Roman"/>
          <w:sz w:val="24"/>
          <w:szCs w:val="24"/>
          <w:rtl/>
        </w:rPr>
        <w:t>،</w:t>
      </w:r>
      <w:r>
        <w:rPr>
          <w:rFonts w:asciiTheme="majorBidi" w:hAnsiTheme="majorBidi" w:cs="Times New Roman" w:hint="cs"/>
          <w:sz w:val="24"/>
          <w:szCs w:val="24"/>
          <w:rtl/>
        </w:rPr>
        <w:t xml:space="preserve"> رغم </w:t>
      </w:r>
      <w:r w:rsidRPr="001B3139">
        <w:rPr>
          <w:rFonts w:asciiTheme="majorBidi" w:hAnsiTheme="majorBidi" w:cs="Times New Roman"/>
          <w:sz w:val="24"/>
          <w:szCs w:val="24"/>
          <w:rtl/>
        </w:rPr>
        <w:t>التحديات كظاهرة تداخل الماء</w:t>
      </w:r>
      <w:r w:rsidRPr="00CA6A63">
        <w:rPr>
          <w:rFonts w:asciiTheme="majorBidi" w:hAnsiTheme="majorBidi" w:cs="Times New Roman"/>
          <w:sz w:val="24"/>
          <w:szCs w:val="24"/>
          <w:rtl/>
        </w:rPr>
        <w:t xml:space="preserve"> </w:t>
      </w:r>
      <w:r w:rsidRPr="001B3139">
        <w:rPr>
          <w:rFonts w:asciiTheme="majorBidi" w:hAnsiTheme="majorBidi" w:cs="Times New Roman"/>
          <w:sz w:val="24"/>
          <w:szCs w:val="24"/>
          <w:rtl/>
        </w:rPr>
        <w:t>و إنتشار</w:t>
      </w:r>
      <w:r>
        <w:rPr>
          <w:rFonts w:asciiTheme="majorBidi" w:hAnsiTheme="majorBidi" w:cs="Times New Roman" w:hint="cs"/>
          <w:sz w:val="24"/>
          <w:szCs w:val="24"/>
          <w:rtl/>
        </w:rPr>
        <w:t xml:space="preserve"> "مي".يحسن الميكروسكوب الفلوري حساسية الكشف من خلال التقاط علامات فلورية من الميكروبلاستيكة. والتغلب على حدود </w:t>
      </w:r>
      <w:r w:rsidRPr="00CA6A63">
        <w:rPr>
          <w:rFonts w:asciiTheme="majorBidi" w:hAnsiTheme="majorBidi" w:cs="Times New Roman"/>
          <w:sz w:val="24"/>
          <w:szCs w:val="24"/>
          <w:rtl/>
        </w:rPr>
        <w:t xml:space="preserve"> </w:t>
      </w:r>
      <w:r w:rsidRPr="001B3139">
        <w:rPr>
          <w:rFonts w:asciiTheme="majorBidi" w:hAnsiTheme="majorBidi" w:cs="Times New Roman"/>
          <w:sz w:val="24"/>
          <w:szCs w:val="24"/>
          <w:rtl/>
        </w:rPr>
        <w:t>الإنتشار لرؤية الجزيئات في عينات الماء</w:t>
      </w:r>
      <w:r>
        <w:rPr>
          <w:rFonts w:asciiTheme="majorBidi" w:hAnsiTheme="majorBidi" w:cs="Times New Roman" w:hint="cs"/>
          <w:sz w:val="24"/>
          <w:szCs w:val="24"/>
          <w:rtl/>
        </w:rPr>
        <w:t>.</w:t>
      </w:r>
      <w:r w:rsidRPr="001B3139">
        <w:rPr>
          <w:rFonts w:asciiTheme="majorBidi" w:hAnsiTheme="majorBidi" w:cstheme="majorBidi"/>
          <w:sz w:val="24"/>
          <w:szCs w:val="24"/>
        </w:rPr>
        <w:t xml:space="preserve">. </w:t>
      </w:r>
      <w:r w:rsidRPr="001B3139">
        <w:rPr>
          <w:rFonts w:asciiTheme="majorBidi" w:hAnsiTheme="majorBidi" w:cs="Times New Roman"/>
          <w:sz w:val="24"/>
          <w:szCs w:val="24"/>
          <w:rtl/>
        </w:rPr>
        <w:t xml:space="preserve">وتؤكد هذه النتائج التي توصلنا إليها أهمية هذه التقنيات في تطوير البحث في مجال الميكروبلاستيك، وتوفير أدوات فعّالة  لرصد وتخفيف التلوث البيئي ويجب مستقبلًا أن تركز  المجهودات المبذولة على منهجيات للكشف عن النانوبلاستيك، بما يضمن تقييم وتسيير التلوث </w:t>
      </w:r>
      <w:r>
        <w:rPr>
          <w:rFonts w:asciiTheme="majorBidi" w:hAnsiTheme="majorBidi" w:cs="Times New Roman"/>
          <w:sz w:val="24"/>
          <w:szCs w:val="24"/>
          <w:rtl/>
        </w:rPr>
        <w:t>الميكروبلاستيكي في النظام البيئ</w:t>
      </w:r>
      <w:r>
        <w:rPr>
          <w:rFonts w:asciiTheme="majorBidi" w:hAnsiTheme="majorBidi" w:cs="Times New Roman" w:hint="cs"/>
          <w:sz w:val="24"/>
          <w:szCs w:val="24"/>
          <w:rtl/>
        </w:rPr>
        <w:t>ة.</w:t>
      </w:r>
    </w:p>
    <w:p w:rsidR="00271513" w:rsidRPr="00271513" w:rsidRDefault="00271513" w:rsidP="00271513">
      <w:pPr>
        <w:rPr>
          <w:rFonts w:asciiTheme="majorBidi" w:hAnsiTheme="majorBidi" w:cstheme="majorBidi"/>
          <w:sz w:val="24"/>
          <w:szCs w:val="24"/>
        </w:rPr>
      </w:pPr>
      <w:r w:rsidRPr="00CA6A63">
        <w:rPr>
          <w:rFonts w:asciiTheme="majorBidi" w:hAnsiTheme="majorBidi" w:cs="Times New Roman"/>
          <w:b/>
          <w:bCs/>
          <w:sz w:val="24"/>
          <w:szCs w:val="24"/>
          <w:rtl/>
        </w:rPr>
        <w:t>الكلمات</w:t>
      </w:r>
      <w:r w:rsidRPr="001B3139">
        <w:rPr>
          <w:rFonts w:asciiTheme="majorBidi" w:hAnsiTheme="majorBidi" w:cs="Times New Roman"/>
          <w:sz w:val="24"/>
          <w:szCs w:val="24"/>
          <w:rtl/>
        </w:rPr>
        <w:t xml:space="preserve"> </w:t>
      </w:r>
      <w:r w:rsidRPr="00CA6A63">
        <w:rPr>
          <w:rFonts w:asciiTheme="majorBidi" w:hAnsiTheme="majorBidi" w:cs="Times New Roman"/>
          <w:b/>
          <w:bCs/>
          <w:sz w:val="24"/>
          <w:szCs w:val="24"/>
          <w:rtl/>
        </w:rPr>
        <w:t>المفتاحية</w:t>
      </w:r>
      <w:r w:rsidRPr="001B3139">
        <w:rPr>
          <w:rFonts w:asciiTheme="majorBidi" w:hAnsiTheme="majorBidi" w:cs="Times New Roman"/>
          <w:sz w:val="24"/>
          <w:szCs w:val="24"/>
          <w:rtl/>
        </w:rPr>
        <w:t xml:space="preserve"> </w:t>
      </w:r>
      <w:r w:rsidRPr="00CA6A63">
        <w:rPr>
          <w:rFonts w:asciiTheme="majorBidi" w:hAnsiTheme="majorBidi" w:cs="Times New Roman"/>
          <w:b/>
          <w:bCs/>
          <w:sz w:val="24"/>
          <w:szCs w:val="24"/>
          <w:rtl/>
        </w:rPr>
        <w:t>:</w:t>
      </w:r>
      <w:r w:rsidRPr="001B3139">
        <w:rPr>
          <w:rFonts w:asciiTheme="majorBidi" w:hAnsiTheme="majorBidi" w:cs="Times New Roman"/>
          <w:sz w:val="24"/>
          <w:szCs w:val="24"/>
          <w:rtl/>
        </w:rPr>
        <w:t xml:space="preserve">  التلوث الميكروبلاستيكي، التحليل الطيفي، التحليل المجهري،  جودة الماء</w:t>
      </w:r>
    </w:p>
    <w:p w:rsidR="00271513" w:rsidRPr="004C25E8" w:rsidRDefault="00271513" w:rsidP="00271513">
      <w:pPr>
        <w:rPr>
          <w:rFonts w:asciiTheme="majorBidi" w:hAnsiTheme="majorBidi" w:cstheme="majorBidi"/>
        </w:rPr>
      </w:pPr>
    </w:p>
    <w:p w:rsidR="00271513" w:rsidRPr="004C25E8" w:rsidRDefault="00271513" w:rsidP="00271513">
      <w:pPr>
        <w:rPr>
          <w:rFonts w:asciiTheme="majorBidi" w:hAnsiTheme="majorBidi" w:cstheme="majorBidi"/>
        </w:rPr>
      </w:pPr>
    </w:p>
    <w:p w:rsidR="00271513" w:rsidRPr="004C25E8" w:rsidRDefault="00271513" w:rsidP="00271513">
      <w:pPr>
        <w:rPr>
          <w:rFonts w:asciiTheme="majorBidi" w:hAnsiTheme="majorBidi" w:cstheme="majorBidi"/>
        </w:rPr>
      </w:pPr>
    </w:p>
    <w:p w:rsidR="00271513" w:rsidRPr="004C25E8" w:rsidRDefault="00271513" w:rsidP="00271513">
      <w:pPr>
        <w:pStyle w:val="Titre1"/>
        <w:numPr>
          <w:ilvl w:val="0"/>
          <w:numId w:val="0"/>
        </w:numPr>
        <w:spacing w:line="360" w:lineRule="auto"/>
        <w:ind w:firstLine="708"/>
        <w:rPr>
          <w:rFonts w:asciiTheme="majorBidi" w:hAnsiTheme="majorBidi"/>
          <w:b/>
          <w:bCs/>
          <w:i/>
          <w:iCs/>
          <w:sz w:val="36"/>
          <w:szCs w:val="36"/>
          <w:lang w:val="fr-FR"/>
        </w:rPr>
      </w:pPr>
      <w:bookmarkStart w:id="3" w:name="_Toc128067226"/>
      <w:bookmarkStart w:id="4" w:name="_Toc169828602"/>
      <w:r w:rsidRPr="004C25E8">
        <w:rPr>
          <w:rFonts w:asciiTheme="majorBidi" w:hAnsiTheme="majorBidi"/>
          <w:b/>
          <w:bCs/>
          <w:i/>
          <w:iCs/>
          <w:sz w:val="36"/>
          <w:szCs w:val="36"/>
          <w:lang w:val="fr-FR"/>
        </w:rPr>
        <w:lastRenderedPageBreak/>
        <w:t>Résumé</w:t>
      </w:r>
      <w:bookmarkEnd w:id="3"/>
      <w:bookmarkEnd w:id="4"/>
      <w:r w:rsidRPr="004C25E8">
        <w:rPr>
          <w:rFonts w:asciiTheme="majorBidi" w:hAnsiTheme="majorBidi"/>
          <w:b/>
          <w:bCs/>
          <w:i/>
          <w:iCs/>
          <w:sz w:val="36"/>
          <w:szCs w:val="36"/>
          <w:lang w:val="fr-FR"/>
        </w:rPr>
        <w:t xml:space="preserve"> </w:t>
      </w:r>
    </w:p>
    <w:p w:rsidR="00271513" w:rsidRPr="004C25E8" w:rsidRDefault="00271513" w:rsidP="00271513">
      <w:pPr>
        <w:rPr>
          <w:rFonts w:asciiTheme="majorBidi" w:hAnsiTheme="majorBidi" w:cstheme="majorBidi"/>
          <w:lang w:val="fr-FR"/>
        </w:rPr>
      </w:pPr>
    </w:p>
    <w:p w:rsidR="00271513" w:rsidRPr="004C25E8" w:rsidRDefault="00271513" w:rsidP="00271513">
      <w:pPr>
        <w:spacing w:line="360" w:lineRule="auto"/>
        <w:ind w:firstLine="708"/>
        <w:jc w:val="both"/>
        <w:rPr>
          <w:rFonts w:asciiTheme="majorBidi" w:hAnsiTheme="majorBidi" w:cstheme="majorBidi"/>
          <w:sz w:val="24"/>
          <w:szCs w:val="24"/>
          <w:lang w:val="fr-FR"/>
        </w:rPr>
      </w:pPr>
      <w:r w:rsidRPr="004C25E8">
        <w:rPr>
          <w:rFonts w:asciiTheme="majorBidi" w:hAnsiTheme="majorBidi" w:cstheme="majorBidi"/>
          <w:sz w:val="24"/>
          <w:szCs w:val="24"/>
          <w:lang w:val="fr-FR"/>
        </w:rPr>
        <w:t>Cette étude explore l'application des spectroscopies optiques et de la microscopie de fluorescence pour détecter les microplastiques dans les environnements aquatiques. L'intégration des spectroscopies FTIR et UV-Visible avec l'analyse de la bande interdite offre des insights sur l'identification des microplastiques et leurs propriétés optiques, malgré des défis tels que l'interférence de l'eau et la diffusion de Mie. La microscopie de fluorescence améliore la sensibilité de détection en capturant les signatures uniques de fluorescence des microplastiques, surmontant les limites de diffraction pour visualiser les particules dans les échantillons d'eau. Nos résultats soulignent l'importance de ces techniques dans l'avancement de la recherche sur les microplastiques, offrant des outils efficaces pour surveiller et atténuer la pollution environnementale. Les efforts futurs devraient se concentrer sur le raffinement des méthodologies pour détecter les nanoplastiques, assurant une évaluation et une gestion complètes de la contamination par les microplastiques dans les écosystèmes mondiaux.</w:t>
      </w:r>
    </w:p>
    <w:p w:rsidR="00271513" w:rsidRPr="004C25E8" w:rsidRDefault="00271513" w:rsidP="00271513">
      <w:pPr>
        <w:spacing w:line="360" w:lineRule="auto"/>
        <w:jc w:val="both"/>
        <w:rPr>
          <w:rFonts w:asciiTheme="majorBidi" w:hAnsiTheme="majorBidi" w:cstheme="majorBidi"/>
          <w:sz w:val="24"/>
          <w:szCs w:val="24"/>
          <w:lang w:val="fr-FR"/>
        </w:rPr>
      </w:pPr>
      <w:r w:rsidRPr="004C25E8">
        <w:rPr>
          <w:rFonts w:asciiTheme="majorBidi" w:hAnsiTheme="majorBidi" w:cstheme="majorBidi"/>
          <w:sz w:val="24"/>
          <w:szCs w:val="24"/>
          <w:lang w:val="fr-FR"/>
        </w:rPr>
        <w:t>Mots-clés: Pollution par les microplastiques, Spectroscopie, Microscopie, Qualité de l'eau.</w:t>
      </w:r>
    </w:p>
    <w:p w:rsidR="00271513" w:rsidRPr="004C25E8" w:rsidRDefault="00271513" w:rsidP="00271513">
      <w:pPr>
        <w:rPr>
          <w:rFonts w:asciiTheme="majorBidi" w:hAnsiTheme="majorBidi" w:cstheme="majorBidi"/>
          <w:lang w:val="fr-FR"/>
        </w:rPr>
      </w:pPr>
    </w:p>
    <w:p w:rsidR="00271513" w:rsidRPr="004C25E8" w:rsidRDefault="00271513" w:rsidP="00271513">
      <w:pPr>
        <w:rPr>
          <w:rFonts w:asciiTheme="majorBidi" w:hAnsiTheme="majorBidi" w:cstheme="majorBidi"/>
          <w:lang w:val="fr-FR"/>
        </w:rPr>
      </w:pPr>
    </w:p>
    <w:p w:rsidR="00671586" w:rsidRPr="00271513" w:rsidRDefault="00671586">
      <w:pPr>
        <w:rPr>
          <w:lang w:val="fr-FR"/>
        </w:rPr>
      </w:pPr>
    </w:p>
    <w:sectPr w:rsidR="00671586" w:rsidRPr="0027151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341A3"/>
    <w:multiLevelType w:val="multilevel"/>
    <w:tmpl w:val="F63CFA7C"/>
    <w:lvl w:ilvl="0">
      <w:start w:val="1"/>
      <w:numFmt w:val="upperRoman"/>
      <w:pStyle w:val="Titre1"/>
      <w:suff w:val="space"/>
      <w:lvlText w:val="Chapitre %1:"/>
      <w:lvlJc w:val="left"/>
      <w:pPr>
        <w:ind w:left="0" w:firstLine="0"/>
      </w:pPr>
      <w:rPr>
        <w:rFonts w:hint="default"/>
        <w:color w:val="FFFFFF" w:themeColor="background1"/>
      </w:rPr>
    </w:lvl>
    <w:lvl w:ilvl="1">
      <w:start w:val="1"/>
      <w:numFmt w:val="decimal"/>
      <w:pStyle w:val="Titre2"/>
      <w:suff w:val="space"/>
      <w:lvlText w:val="%1.%2"/>
      <w:lvlJc w:val="left"/>
      <w:pPr>
        <w:ind w:left="284" w:firstLine="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suff w:val="space"/>
      <w:lvlText w:val="%1.%2.%3"/>
      <w:lvlJc w:val="left"/>
      <w:pPr>
        <w:ind w:left="0" w:firstLine="0"/>
      </w:pPr>
      <w:rPr>
        <w:rFonts w:hint="default"/>
        <w:strike w:val="0"/>
      </w:rPr>
    </w:lvl>
    <w:lvl w:ilvl="3">
      <w:start w:val="1"/>
      <w:numFmt w:val="decimal"/>
      <w:pStyle w:val="Titre4"/>
      <w:suff w:val="space"/>
      <w:lvlText w:val="%1.%2.%3.%4"/>
      <w:lvlJc w:val="left"/>
      <w:pPr>
        <w:ind w:left="426" w:firstLine="0"/>
      </w:pPr>
      <w:rPr>
        <w:rFonts w:hint="default"/>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space"/>
      <w:lvlText w:val="%1.%2.%3.%4.%5"/>
      <w:lvlJc w:val="left"/>
      <w:pPr>
        <w:ind w:left="710" w:firstLine="0"/>
      </w:pPr>
      <w:rPr>
        <w:rFonts w:hint="default"/>
      </w:rPr>
    </w:lvl>
    <w:lvl w:ilvl="5">
      <w:start w:val="1"/>
      <w:numFmt w:val="decimal"/>
      <w:pStyle w:val="Titre6"/>
      <w:suff w:val="space"/>
      <w:lvlText w:val="%1.%2.%3.%4.%5.%6"/>
      <w:lvlJc w:val="left"/>
      <w:pPr>
        <w:ind w:left="0" w:firstLine="0"/>
      </w:pPr>
      <w:rPr>
        <w:rFonts w:hint="default"/>
      </w:rPr>
    </w:lvl>
    <w:lvl w:ilvl="6">
      <w:start w:val="1"/>
      <w:numFmt w:val="decimal"/>
      <w:pStyle w:val="Titre7"/>
      <w:suff w:val="space"/>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13"/>
    <w:rsid w:val="00271513"/>
    <w:rsid w:val="00671586"/>
    <w:rsid w:val="00D331B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7E31"/>
  <w15:chartTrackingRefBased/>
  <w15:docId w15:val="{B39855C2-02BB-4A38-9873-7E6DF7F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513"/>
    <w:rPr>
      <w:noProof/>
      <w:lang w:val="en-US"/>
    </w:rPr>
  </w:style>
  <w:style w:type="paragraph" w:styleId="Titre1">
    <w:name w:val="heading 1"/>
    <w:basedOn w:val="Normal"/>
    <w:next w:val="Normal"/>
    <w:link w:val="Titre1Car"/>
    <w:uiPriority w:val="9"/>
    <w:qFormat/>
    <w:rsid w:val="00271513"/>
    <w:pPr>
      <w:keepNext/>
      <w:keepLines/>
      <w:numPr>
        <w:numId w:val="1"/>
      </w:numPr>
      <w:spacing w:before="240" w:after="0"/>
      <w:outlineLvl w:val="0"/>
    </w:pPr>
    <w:rPr>
      <w:rFonts w:ascii="Monotype Corsiva" w:eastAsiaTheme="majorEastAsia" w:hAnsi="Monotype Corsiva" w:cstheme="majorBidi"/>
      <w:sz w:val="72"/>
      <w:szCs w:val="32"/>
    </w:rPr>
  </w:style>
  <w:style w:type="paragraph" w:styleId="Titre2">
    <w:name w:val="heading 2"/>
    <w:basedOn w:val="Normal"/>
    <w:next w:val="Normal"/>
    <w:link w:val="Titre2Car"/>
    <w:uiPriority w:val="9"/>
    <w:unhideWhenUsed/>
    <w:qFormat/>
    <w:rsid w:val="00271513"/>
    <w:pPr>
      <w:keepNext/>
      <w:keepLines/>
      <w:numPr>
        <w:ilvl w:val="1"/>
        <w:numId w:val="1"/>
      </w:numPr>
      <w:spacing w:before="160" w:after="120"/>
      <w:ind w:left="0"/>
      <w:outlineLvl w:val="1"/>
    </w:pPr>
    <w:rPr>
      <w:rFonts w:asciiTheme="majorBidi" w:eastAsiaTheme="majorEastAsia" w:hAnsiTheme="majorBidi" w:cstheme="majorBidi"/>
      <w:b/>
      <w:sz w:val="28"/>
      <w:szCs w:val="26"/>
    </w:rPr>
  </w:style>
  <w:style w:type="paragraph" w:styleId="Titre3">
    <w:name w:val="heading 3"/>
    <w:basedOn w:val="Normal"/>
    <w:next w:val="Normal"/>
    <w:link w:val="Titre3Car"/>
    <w:uiPriority w:val="9"/>
    <w:unhideWhenUsed/>
    <w:qFormat/>
    <w:rsid w:val="00271513"/>
    <w:pPr>
      <w:keepNext/>
      <w:keepLines/>
      <w:numPr>
        <w:ilvl w:val="2"/>
        <w:numId w:val="1"/>
      </w:numPr>
      <w:spacing w:before="160" w:after="120"/>
      <w:outlineLvl w:val="2"/>
    </w:pPr>
    <w:rPr>
      <w:rFonts w:asciiTheme="majorBidi" w:eastAsiaTheme="majorEastAsia" w:hAnsiTheme="majorBidi" w:cstheme="majorBidi"/>
      <w:i/>
      <w:sz w:val="26"/>
      <w:szCs w:val="24"/>
    </w:rPr>
  </w:style>
  <w:style w:type="paragraph" w:styleId="Titre4">
    <w:name w:val="heading 4"/>
    <w:basedOn w:val="Normal"/>
    <w:next w:val="Normal"/>
    <w:link w:val="Titre4Car"/>
    <w:uiPriority w:val="9"/>
    <w:unhideWhenUsed/>
    <w:qFormat/>
    <w:rsid w:val="00271513"/>
    <w:pPr>
      <w:keepNext/>
      <w:keepLines/>
      <w:numPr>
        <w:ilvl w:val="3"/>
        <w:numId w:val="1"/>
      </w:numPr>
      <w:spacing w:before="160" w:after="120"/>
      <w:ind w:left="0"/>
      <w:outlineLvl w:val="3"/>
    </w:pPr>
    <w:rPr>
      <w:rFonts w:asciiTheme="majorBidi" w:eastAsiaTheme="majorEastAsia" w:hAnsiTheme="majorBidi" w:cstheme="majorBidi"/>
      <w:i/>
      <w:iCs/>
      <w:sz w:val="26"/>
    </w:rPr>
  </w:style>
  <w:style w:type="paragraph" w:styleId="Titre5">
    <w:name w:val="heading 5"/>
    <w:basedOn w:val="Normal"/>
    <w:next w:val="Normal"/>
    <w:link w:val="Titre5Car"/>
    <w:uiPriority w:val="9"/>
    <w:unhideWhenUsed/>
    <w:qFormat/>
    <w:rsid w:val="00271513"/>
    <w:pPr>
      <w:keepNext/>
      <w:keepLines/>
      <w:numPr>
        <w:ilvl w:val="4"/>
        <w:numId w:val="1"/>
      </w:numPr>
      <w:spacing w:before="160" w:after="120"/>
      <w:ind w:left="0"/>
      <w:outlineLvl w:val="4"/>
    </w:pPr>
    <w:rPr>
      <w:rFonts w:asciiTheme="majorBidi" w:eastAsiaTheme="majorEastAsia" w:hAnsiTheme="majorBidi" w:cstheme="majorBidi"/>
      <w:i/>
      <w:sz w:val="24"/>
    </w:rPr>
  </w:style>
  <w:style w:type="paragraph" w:styleId="Titre6">
    <w:name w:val="heading 6"/>
    <w:basedOn w:val="Normal"/>
    <w:next w:val="Normal"/>
    <w:link w:val="Titre6Car"/>
    <w:uiPriority w:val="9"/>
    <w:unhideWhenUsed/>
    <w:qFormat/>
    <w:rsid w:val="0027151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7151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7151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7151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513"/>
    <w:rPr>
      <w:rFonts w:ascii="Monotype Corsiva" w:eastAsiaTheme="majorEastAsia" w:hAnsi="Monotype Corsiva" w:cstheme="majorBidi"/>
      <w:noProof/>
      <w:sz w:val="72"/>
      <w:szCs w:val="32"/>
      <w:lang w:val="en-US"/>
    </w:rPr>
  </w:style>
  <w:style w:type="character" w:customStyle="1" w:styleId="Titre2Car">
    <w:name w:val="Titre 2 Car"/>
    <w:basedOn w:val="Policepardfaut"/>
    <w:link w:val="Titre2"/>
    <w:uiPriority w:val="9"/>
    <w:rsid w:val="00271513"/>
    <w:rPr>
      <w:rFonts w:asciiTheme="majorBidi" w:eastAsiaTheme="majorEastAsia" w:hAnsiTheme="majorBidi" w:cstheme="majorBidi"/>
      <w:b/>
      <w:noProof/>
      <w:sz w:val="28"/>
      <w:szCs w:val="26"/>
      <w:lang w:val="en-US"/>
    </w:rPr>
  </w:style>
  <w:style w:type="character" w:customStyle="1" w:styleId="Titre3Car">
    <w:name w:val="Titre 3 Car"/>
    <w:basedOn w:val="Policepardfaut"/>
    <w:link w:val="Titre3"/>
    <w:uiPriority w:val="9"/>
    <w:rsid w:val="00271513"/>
    <w:rPr>
      <w:rFonts w:asciiTheme="majorBidi" w:eastAsiaTheme="majorEastAsia" w:hAnsiTheme="majorBidi" w:cstheme="majorBidi"/>
      <w:i/>
      <w:noProof/>
      <w:sz w:val="26"/>
      <w:szCs w:val="24"/>
      <w:lang w:val="en-US"/>
    </w:rPr>
  </w:style>
  <w:style w:type="character" w:customStyle="1" w:styleId="Titre4Car">
    <w:name w:val="Titre 4 Car"/>
    <w:basedOn w:val="Policepardfaut"/>
    <w:link w:val="Titre4"/>
    <w:uiPriority w:val="9"/>
    <w:rsid w:val="00271513"/>
    <w:rPr>
      <w:rFonts w:asciiTheme="majorBidi" w:eastAsiaTheme="majorEastAsia" w:hAnsiTheme="majorBidi" w:cstheme="majorBidi"/>
      <w:i/>
      <w:iCs/>
      <w:noProof/>
      <w:sz w:val="26"/>
      <w:lang w:val="en-US"/>
    </w:rPr>
  </w:style>
  <w:style w:type="character" w:customStyle="1" w:styleId="Titre5Car">
    <w:name w:val="Titre 5 Car"/>
    <w:basedOn w:val="Policepardfaut"/>
    <w:link w:val="Titre5"/>
    <w:uiPriority w:val="9"/>
    <w:rsid w:val="00271513"/>
    <w:rPr>
      <w:rFonts w:asciiTheme="majorBidi" w:eastAsiaTheme="majorEastAsia" w:hAnsiTheme="majorBidi" w:cstheme="majorBidi"/>
      <w:i/>
      <w:noProof/>
      <w:sz w:val="24"/>
      <w:lang w:val="en-US"/>
    </w:rPr>
  </w:style>
  <w:style w:type="character" w:customStyle="1" w:styleId="Titre6Car">
    <w:name w:val="Titre 6 Car"/>
    <w:basedOn w:val="Policepardfaut"/>
    <w:link w:val="Titre6"/>
    <w:uiPriority w:val="9"/>
    <w:rsid w:val="00271513"/>
    <w:rPr>
      <w:rFonts w:asciiTheme="majorHAnsi" w:eastAsiaTheme="majorEastAsia" w:hAnsiTheme="majorHAnsi" w:cstheme="majorBidi"/>
      <w:noProof/>
      <w:color w:val="1F4D78" w:themeColor="accent1" w:themeShade="7F"/>
      <w:lang w:val="en-US"/>
    </w:rPr>
  </w:style>
  <w:style w:type="character" w:customStyle="1" w:styleId="Titre7Car">
    <w:name w:val="Titre 7 Car"/>
    <w:basedOn w:val="Policepardfaut"/>
    <w:link w:val="Titre7"/>
    <w:uiPriority w:val="9"/>
    <w:semiHidden/>
    <w:rsid w:val="00271513"/>
    <w:rPr>
      <w:rFonts w:asciiTheme="majorHAnsi" w:eastAsiaTheme="majorEastAsia" w:hAnsiTheme="majorHAnsi" w:cstheme="majorBidi"/>
      <w:i/>
      <w:iCs/>
      <w:noProof/>
      <w:color w:val="1F4D78" w:themeColor="accent1" w:themeShade="7F"/>
      <w:lang w:val="en-US"/>
    </w:rPr>
  </w:style>
  <w:style w:type="character" w:customStyle="1" w:styleId="Titre8Car">
    <w:name w:val="Titre 8 Car"/>
    <w:basedOn w:val="Policepardfaut"/>
    <w:link w:val="Titre8"/>
    <w:uiPriority w:val="9"/>
    <w:semiHidden/>
    <w:rsid w:val="00271513"/>
    <w:rPr>
      <w:rFonts w:asciiTheme="majorHAnsi" w:eastAsiaTheme="majorEastAsia" w:hAnsiTheme="majorHAnsi" w:cstheme="majorBidi"/>
      <w:noProof/>
      <w:color w:val="272727" w:themeColor="text1" w:themeTint="D8"/>
      <w:sz w:val="21"/>
      <w:szCs w:val="21"/>
      <w:lang w:val="en-US"/>
    </w:rPr>
  </w:style>
  <w:style w:type="character" w:customStyle="1" w:styleId="Titre9Car">
    <w:name w:val="Titre 9 Car"/>
    <w:basedOn w:val="Policepardfaut"/>
    <w:link w:val="Titre9"/>
    <w:uiPriority w:val="9"/>
    <w:semiHidden/>
    <w:rsid w:val="00271513"/>
    <w:rPr>
      <w:rFonts w:asciiTheme="majorHAnsi" w:eastAsiaTheme="majorEastAsia" w:hAnsiTheme="majorHAnsi" w:cstheme="majorBidi"/>
      <w:i/>
      <w:iCs/>
      <w:noProof/>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cam</dc:creator>
  <cp:keywords/>
  <dc:description/>
  <cp:lastModifiedBy>pc cam</cp:lastModifiedBy>
  <cp:revision>1</cp:revision>
  <dcterms:created xsi:type="dcterms:W3CDTF">2024-07-02T12:38:00Z</dcterms:created>
  <dcterms:modified xsi:type="dcterms:W3CDTF">2024-07-02T12:43:00Z</dcterms:modified>
</cp:coreProperties>
</file>